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0"/>
        <w:jc w:val="center"/>
        <w:rPr>
          <w:rFonts w:hint="eastAsia" w:ascii="方正小标宋简体" w:hAnsi="黑体" w:eastAsia="方正小标宋简体" w:cs="方正小标宋简体"/>
          <w:b/>
          <w:bCs/>
          <w:color w:val="auto"/>
          <w:sz w:val="36"/>
          <w:szCs w:val="36"/>
          <w:lang w:val="en-US" w:eastAsia="zh-CN"/>
        </w:rPr>
      </w:pPr>
      <w:r>
        <w:rPr>
          <w:rFonts w:hint="eastAsia" w:ascii="方正小标宋简体" w:hAnsi="黑体" w:eastAsia="方正小标宋简体" w:cs="方正小标宋简体"/>
          <w:b/>
          <w:bCs/>
          <w:color w:val="auto"/>
          <w:sz w:val="36"/>
          <w:szCs w:val="36"/>
          <w:lang w:val="en-US" w:eastAsia="zh-CN"/>
        </w:rPr>
        <w:t>泰达图书馆档案馆消防系统设施维修</w:t>
      </w:r>
    </w:p>
    <w:p>
      <w:pPr>
        <w:spacing w:line="580" w:lineRule="exact"/>
        <w:ind w:firstLine="640"/>
        <w:jc w:val="center"/>
        <w:rPr>
          <w:rFonts w:ascii="方正小标宋简体" w:hAnsi="黑体" w:eastAsia="方正小标宋简体" w:cs="Times New Roman"/>
          <w:b/>
          <w:bCs/>
          <w:color w:val="auto"/>
          <w:sz w:val="36"/>
          <w:szCs w:val="36"/>
        </w:rPr>
      </w:pPr>
      <w:r>
        <w:rPr>
          <w:rFonts w:hint="eastAsia" w:ascii="方正小标宋简体" w:hAnsi="黑体" w:eastAsia="方正小标宋简体" w:cs="方正小标宋简体"/>
          <w:b/>
          <w:bCs/>
          <w:color w:val="auto"/>
          <w:sz w:val="36"/>
          <w:szCs w:val="36"/>
          <w:lang w:val="en-US" w:eastAsia="zh-CN"/>
        </w:rPr>
        <w:t>工程专项</w:t>
      </w:r>
      <w:r>
        <w:rPr>
          <w:rFonts w:hint="eastAsia" w:ascii="方正小标宋简体" w:hAnsi="黑体" w:eastAsia="方正小标宋简体" w:cs="方正小标宋简体"/>
          <w:b/>
          <w:bCs/>
          <w:color w:val="auto"/>
          <w:sz w:val="36"/>
          <w:szCs w:val="36"/>
        </w:rPr>
        <w:t>自评报告</w:t>
      </w:r>
    </w:p>
    <w:p>
      <w:pPr>
        <w:spacing w:line="540" w:lineRule="exact"/>
        <w:ind w:firstLine="641"/>
        <w:rPr>
          <w:rFonts w:ascii="仿宋_GB2312" w:eastAsia="仿宋_GB2312" w:cs="Times New Roman"/>
          <w:color w:val="auto"/>
          <w:sz w:val="32"/>
          <w:szCs w:val="32"/>
        </w:rPr>
      </w:pPr>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一、项目概况</w:t>
      </w:r>
    </w:p>
    <w:p>
      <w:pPr>
        <w:widowControl/>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该</w:t>
      </w:r>
      <w:r>
        <w:rPr>
          <w:rFonts w:hint="eastAsia" w:ascii="仿宋_GB2312" w:hAnsi="仿宋_GB2312" w:eastAsia="仿宋_GB2312" w:cs="仿宋_GB2312"/>
          <w:color w:val="auto"/>
          <w:kern w:val="0"/>
          <w:sz w:val="32"/>
          <w:szCs w:val="32"/>
        </w:rPr>
        <w:t>专项</w:t>
      </w:r>
      <w:r>
        <w:rPr>
          <w:rFonts w:hint="eastAsia" w:ascii="仿宋_GB2312" w:hAnsi="仿宋_GB2312" w:eastAsia="仿宋_GB2312" w:cs="仿宋_GB2312"/>
          <w:color w:val="auto"/>
          <w:kern w:val="0"/>
          <w:sz w:val="32"/>
          <w:szCs w:val="32"/>
          <w:lang w:val="en-US" w:eastAsia="zh-CN"/>
        </w:rPr>
        <w:t>608.53</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 xml:space="preserve">         </w:t>
      </w:r>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二、项目决策及资金使用管理情况</w:t>
      </w:r>
    </w:p>
    <w:p>
      <w:pPr>
        <w:widowControl/>
        <w:tabs>
          <w:tab w:val="left" w:pos="312"/>
        </w:tabs>
        <w:ind w:firstLine="640" w:firstLineChars="200"/>
        <w:jc w:val="left"/>
        <w:textAlignment w:val="top"/>
        <w:rPr>
          <w:rStyle w:val="5"/>
          <w:rFonts w:hint="eastAsia" w:ascii="仿宋_GB2312" w:hAnsi="仿宋_GB2312" w:eastAsia="仿宋_GB2312" w:cs="仿宋_GB2312"/>
          <w:color w:val="auto"/>
          <w:sz w:val="32"/>
          <w:szCs w:val="32"/>
          <w:lang w:val="en-US" w:eastAsia="zh-CN"/>
        </w:rPr>
      </w:pPr>
      <w:r>
        <w:rPr>
          <w:rStyle w:val="5"/>
          <w:rFonts w:hint="eastAsia" w:ascii="仿宋_GB2312" w:hAnsi="仿宋_GB2312" w:eastAsia="仿宋_GB2312" w:cs="仿宋_GB2312"/>
          <w:color w:val="auto"/>
          <w:sz w:val="32"/>
          <w:szCs w:val="32"/>
          <w:lang w:val="en-US" w:eastAsia="zh-CN"/>
        </w:rPr>
        <w:t>1. 项目决策情况：</w:t>
      </w:r>
    </w:p>
    <w:p>
      <w:pPr>
        <w:numPr>
          <w:ilvl w:val="0"/>
          <w:numId w:val="0"/>
        </w:numPr>
        <w:spacing w:line="54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项目通过聘请第三方单位对泰达图书馆档案馆消防系统进行了整体的前期调研，预计维修金额为862.78万元，通过方案优化报送开发区行政审批局最终批复预算金额为608.53万元，</w:t>
      </w:r>
    </w:p>
    <w:p>
      <w:pPr>
        <w:numPr>
          <w:ilvl w:val="0"/>
          <w:numId w:val="0"/>
        </w:numPr>
        <w:spacing w:line="54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项目资金安排落实</w:t>
      </w:r>
      <w:r>
        <w:rPr>
          <w:rFonts w:hint="eastAsia" w:ascii="仿宋_GB2312" w:hAnsi="仿宋_GB2312" w:eastAsia="仿宋_GB2312" w:cs="仿宋_GB2312"/>
          <w:color w:val="auto"/>
          <w:sz w:val="32"/>
          <w:szCs w:val="32"/>
          <w:lang w:eastAsia="zh-CN"/>
        </w:rPr>
        <w:t>：</w:t>
      </w:r>
    </w:p>
    <w:p>
      <w:pPr>
        <w:numPr>
          <w:ilvl w:val="0"/>
          <w:numId w:val="0"/>
        </w:numPr>
        <w:spacing w:line="5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按</w:t>
      </w:r>
      <w:r>
        <w:rPr>
          <w:rFonts w:hint="eastAsia" w:ascii="仿宋_GB2312" w:hAnsi="仿宋_GB2312" w:eastAsia="仿宋_GB2312" w:cs="仿宋_GB2312"/>
          <w:color w:val="auto"/>
          <w:sz w:val="32"/>
          <w:szCs w:val="32"/>
        </w:rPr>
        <w:t xml:space="preserve">照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关于批复各单位2022年预算的通知》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津开财〔2022〕18号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相关内容，批复预算</w:t>
      </w:r>
      <w:r>
        <w:rPr>
          <w:rFonts w:hint="eastAsia" w:ascii="仿宋_GB2312" w:hAnsi="仿宋_GB2312" w:eastAsia="仿宋_GB2312" w:cs="仿宋_GB2312"/>
          <w:color w:val="auto"/>
          <w:sz w:val="32"/>
          <w:szCs w:val="32"/>
          <w:lang w:val="en-US" w:eastAsia="zh-CN"/>
        </w:rPr>
        <w:t>608.53</w:t>
      </w:r>
      <w:r>
        <w:rPr>
          <w:rFonts w:hint="eastAsia" w:ascii="仿宋_GB2312" w:hAnsi="仿宋_GB2312" w:eastAsia="仿宋_GB2312" w:cs="仿宋_GB2312"/>
          <w:color w:val="auto"/>
          <w:sz w:val="32"/>
          <w:szCs w:val="32"/>
        </w:rPr>
        <w:t>万元，全部为财政拨款。</w:t>
      </w:r>
    </w:p>
    <w:p>
      <w:pPr>
        <w:spacing w:line="540" w:lineRule="exac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3.项目资金实际使用情况：</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该专项资金使用均控制在预算内，结合财政局实际拨付到位金额情况，截至202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年底全年实际支出为</w:t>
      </w:r>
      <w:r>
        <w:rPr>
          <w:rFonts w:hint="eastAsia" w:ascii="仿宋_GB2312" w:hAnsi="仿宋_GB2312" w:eastAsia="仿宋_GB2312" w:cs="仿宋_GB2312"/>
          <w:color w:val="auto"/>
          <w:sz w:val="32"/>
          <w:szCs w:val="32"/>
          <w:lang w:val="en-US" w:eastAsia="zh-CN"/>
        </w:rPr>
        <w:t>39487355.46</w:t>
      </w:r>
      <w:r>
        <w:rPr>
          <w:rFonts w:hint="eastAsia" w:ascii="仿宋_GB2312" w:hAnsi="仿宋_GB2312" w:eastAsia="仿宋_GB2312" w:cs="仿宋_GB2312"/>
          <w:color w:val="auto"/>
          <w:sz w:val="32"/>
          <w:szCs w:val="32"/>
        </w:rPr>
        <w:t>元，全部为财政拨款。</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项目资金管理情况</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本年度严格按照党委办财务管理规定、财务运行实施细则及预算绩效相关办法对各项工作进行落实。</w:t>
      </w:r>
    </w:p>
    <w:p>
      <w:pPr>
        <w:pStyle w:val="4"/>
        <w:numPr>
          <w:ilvl w:val="0"/>
          <w:numId w:val="1"/>
        </w:numPr>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项目组织实施情况</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合同签订后组织施工单位、代建单位、监理单召开项目启动会并对现场进行了踏勘对存在问题及时汇总解决，同时向施工单位进行质量安全交底。</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在开工前</w:t>
      </w:r>
      <w:bookmarkStart w:id="0" w:name="_Toc372364251"/>
      <w:bookmarkStart w:id="1" w:name="_Toc372359556"/>
      <w:r>
        <w:rPr>
          <w:rFonts w:hint="eastAsia" w:ascii="仿宋_GB2312" w:hAnsi="仿宋_GB2312" w:eastAsia="仿宋_GB2312" w:cs="仿宋_GB2312"/>
          <w:color w:val="auto"/>
          <w:sz w:val="32"/>
          <w:szCs w:val="32"/>
          <w:lang w:val="en-US" w:eastAsia="zh-CN"/>
        </w:rPr>
        <w:t>监督监理单位、施工单位做好工程开工前的安全</w:t>
      </w:r>
      <w:bookmarkEnd w:id="0"/>
      <w:bookmarkEnd w:id="1"/>
      <w:r>
        <w:rPr>
          <w:rFonts w:hint="eastAsia" w:ascii="仿宋_GB2312" w:hAnsi="仿宋_GB2312" w:eastAsia="仿宋_GB2312" w:cs="仿宋_GB2312"/>
          <w:color w:val="auto"/>
          <w:sz w:val="32"/>
          <w:szCs w:val="32"/>
          <w:lang w:val="en-US" w:eastAsia="zh-CN"/>
        </w:rPr>
        <w:t>管理。施工过程中,定期及不定期检查安全管理落实情况，对于重大安全隐患问题督促相关责任单位制定切实可行的专项方案并予以落实。建立安全管理动态报告制度，将安全管理情况通报常态化。同时制定现场巡视检查制度，要求项目人员及监理工程师对施工现场进行有目的的巡视检查。</w:t>
      </w:r>
    </w:p>
    <w:p>
      <w:pPr>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color w:val="auto"/>
          <w:sz w:val="32"/>
          <w:szCs w:val="32"/>
          <w:lang w:val="en-US" w:eastAsia="zh-CN"/>
        </w:rPr>
        <w:t>在项目建设过程中，对进场的材料严格进行控制，重点工作在以下方面：一是实行进场检查，对进场的材料进行直观质量检查，施工单位按规定进行检验并提交检验报告，对不合格的产品拒绝进场。二是实行存放条件控制，对材料、半成品存放环境、存放方法、存放时间进行控制，避免因存放条件不良导致质量状况的恶化，如损伤、变质、损坏甚至不能使用，而影响施工质量。</w:t>
      </w:r>
      <w:bookmarkStart w:id="2" w:name="_GoBack"/>
      <w:bookmarkEnd w:id="2"/>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四、项目绩效情况</w:t>
      </w:r>
    </w:p>
    <w:p>
      <w:pPr>
        <w:spacing w:line="540" w:lineRule="exac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已完成。</w:t>
      </w:r>
    </w:p>
    <w:p>
      <w:pPr>
        <w:spacing w:line="540" w:lineRule="exact"/>
        <w:rPr>
          <w:rFonts w:hint="eastAsia" w:ascii="仿宋_GB2312" w:hAnsi="仿宋_GB2312" w:eastAsia="仿宋_GB2312" w:cs="仿宋_GB2312"/>
          <w:color w:val="auto"/>
          <w:sz w:val="32"/>
          <w:szCs w:val="32"/>
        </w:rPr>
      </w:pPr>
    </w:p>
    <w:p>
      <w:pPr>
        <w:rPr>
          <w:color w:val="auto"/>
        </w:rPr>
      </w:pPr>
    </w:p>
    <w:sectPr>
      <w:pgSz w:w="11906" w:h="16838"/>
      <w:pgMar w:top="1531"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21E53D"/>
    <w:multiLevelType w:val="singleLevel"/>
    <w:tmpl w:val="AB21E53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000000"/>
    <w:rsid w:val="0D455D27"/>
    <w:rsid w:val="20CA5AF5"/>
    <w:rsid w:val="37A174EA"/>
    <w:rsid w:val="3F9C2C5A"/>
    <w:rsid w:val="53DB7301"/>
    <w:rsid w:val="56EF1505"/>
    <w:rsid w:val="64F123DA"/>
    <w:rsid w:val="684F6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二级"/>
    <w:basedOn w:val="1"/>
    <w:qFormat/>
    <w:uiPriority w:val="99"/>
    <w:pPr>
      <w:ind w:firstLine="0" w:firstLineChars="0"/>
      <w:outlineLvl w:val="2"/>
    </w:pPr>
    <w:rPr>
      <w:rFonts w:ascii="宋体" w:cs="宋体"/>
      <w:b/>
      <w:bCs/>
      <w:sz w:val="28"/>
      <w:szCs w:val="28"/>
      <w:lang w:eastAsia="en-US"/>
    </w:rPr>
  </w:style>
  <w:style w:type="character" w:customStyle="1" w:styleId="5">
    <w:name w:val="font1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260</Words>
  <Characters>296</Characters>
  <Lines>0</Lines>
  <Paragraphs>0</Paragraphs>
  <TotalTime>2</TotalTime>
  <ScaleCrop>false</ScaleCrop>
  <LinksUpToDate>false</LinksUpToDate>
  <CharactersWithSpaces>318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2023-09-01T06:38:00Z</dcterms:created>
  <dc:creator>Chu</dc:creator>
  <cp:lastModifiedBy>樱桃桃</cp:lastModifiedBy>
  <dcterms:modified xsi:type="dcterms:W3CDTF">2023-09-07T02:39:16Z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87B21B81C849489A9671CA0E1638EB78_13</vt:lpwstr>
  </property>
</Properties>
</file>