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方正小标宋简体" w:hAnsi="方正小标宋简体" w:eastAsia="方正小标宋简体" w:cs="Times New Roman"/>
          <w:kern w:val="0"/>
          <w:sz w:val="48"/>
          <w:szCs w:val="24"/>
          <w:lang w:val="zh-CN"/>
          <w14:ligatures w14:val="none"/>
        </w:rPr>
      </w:pPr>
      <w:bookmarkStart w:id="0" w:name="_GoBack"/>
      <w:bookmarkEnd w:id="0"/>
      <w:r>
        <w:rPr>
          <w:rFonts w:hint="eastAsia" w:ascii="方正小标宋简体" w:hAnsi="方正小标宋简体" w:eastAsia="方正小标宋简体" w:cs="Times New Roman"/>
          <w:kern w:val="0"/>
          <w:sz w:val="48"/>
          <w:szCs w:val="24"/>
          <w:lang w:val="zh-CN"/>
          <w14:ligatures w14:val="none"/>
        </w:rPr>
        <w:t>天津经济技术开发区财务中心</w:t>
      </w:r>
    </w:p>
    <w:p>
      <w:pPr>
        <w:autoSpaceDE w:val="0"/>
        <w:autoSpaceDN w:val="0"/>
        <w:adjustRightInd w:val="0"/>
        <w:jc w:val="center"/>
        <w:rPr>
          <w:rFonts w:hint="eastAsia" w:ascii="方正小标宋简体" w:hAnsi="方正小标宋简体" w:eastAsia="方正小标宋简体" w:cs="Times New Roman"/>
          <w:kern w:val="0"/>
          <w:sz w:val="48"/>
          <w:szCs w:val="24"/>
          <w:lang w:val="zh-CN"/>
          <w14:ligatures w14:val="none"/>
        </w:rPr>
      </w:pPr>
      <w:r>
        <w:rPr>
          <w:rFonts w:hint="eastAsia" w:ascii="方正小标宋简体" w:hAnsi="方正小标宋简体" w:eastAsia="方正小标宋简体" w:cs="Times New Roman"/>
          <w:kern w:val="0"/>
          <w:sz w:val="48"/>
          <w:szCs w:val="24"/>
          <w:lang w:val="zh-CN"/>
          <w14:ligatures w14:val="none"/>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spacing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line="600" w:lineRule="exact"/>
        <w:rPr>
          <w:rFonts w:hint="eastAsia" w:ascii="黑体" w:hAnsi="黑体" w:eastAsia="黑体"/>
          <w:sz w:val="30"/>
          <w:szCs w:val="24"/>
          <w:lang w:val="en-US"/>
        </w:rPr>
      </w:pPr>
    </w:p>
    <w:p>
      <w:pPr>
        <w:tabs>
          <w:tab w:val="right" w:leader="dot" w:pos="8306"/>
        </w:tabs>
        <w:spacing w:line="700" w:lineRule="exact"/>
        <w:rPr>
          <w:rFonts w:hint="eastAsia" w:ascii="Times New Roman" w:hAnsi="Times New Roman" w:eastAsia="Times New Roman"/>
          <w:sz w:val="30"/>
          <w:szCs w:val="24"/>
        </w:rPr>
      </w:pPr>
      <w:r>
        <w:rPr>
          <w:rFonts w:hint="eastAsia" w:ascii="方正小标宋简体" w:hAnsi="方正小标宋简体" w:eastAsia="方正小标宋简体"/>
          <w:sz w:val="30"/>
          <w:szCs w:val="24"/>
        </w:rPr>
        <w:t>第一部分  概 况</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p>
    <w:p>
      <w:pPr>
        <w:tabs>
          <w:tab w:val="right" w:leader="dot" w:pos="8306"/>
        </w:tabs>
        <w:spacing w:line="700" w:lineRule="exact"/>
        <w:rPr>
          <w:rFonts w:hint="eastAsia" w:ascii="Times New Roman" w:hAnsi="Times New Roman" w:eastAsia="Times New Roman"/>
          <w:sz w:val="30"/>
          <w:szCs w:val="24"/>
        </w:rPr>
      </w:pPr>
      <w:r>
        <w:rPr>
          <w:rFonts w:hint="eastAsia" w:ascii="方正小标宋简体" w:hAnsi="方正小标宋简体" w:eastAsia="方正小标宋简体"/>
          <w:sz w:val="30"/>
          <w:szCs w:val="24"/>
        </w:rPr>
        <w:t>第二部分  202</w:t>
      </w:r>
      <w:r>
        <w:rPr>
          <w:rFonts w:hint="eastAsia" w:ascii="方正小标宋简体" w:hAnsi="方正小标宋简体" w:eastAsia="方正小标宋简体"/>
          <w:sz w:val="30"/>
          <w:szCs w:val="24"/>
          <w:lang w:val="en-US" w:eastAsia="zh-CN"/>
        </w:rPr>
        <w:t>3</w:t>
      </w:r>
      <w:r>
        <w:rPr>
          <w:rFonts w:hint="eastAsia" w:ascii="方正小标宋简体" w:hAnsi="方正小标宋简体" w:eastAsia="方正小标宋简体"/>
          <w:sz w:val="30"/>
          <w:szCs w:val="24"/>
        </w:rPr>
        <w:t>年度部门决算表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十、财政拨款“三公”经费支出决算表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p>
    <w:p>
      <w:pPr>
        <w:tabs>
          <w:tab w:val="right" w:leader="dot" w:pos="8306"/>
        </w:tabs>
        <w:spacing w:line="700" w:lineRule="exact"/>
        <w:rPr>
          <w:rFonts w:hint="eastAsia" w:ascii="Times New Roman" w:hAnsi="Times New Roman" w:eastAsia="Times New Roman"/>
          <w:sz w:val="30"/>
          <w:szCs w:val="24"/>
        </w:rPr>
      </w:pPr>
      <w:r>
        <w:rPr>
          <w:rFonts w:hint="eastAsia" w:ascii="方正小标宋简体" w:hAnsi="方正小标宋简体" w:eastAsia="方正小标宋简体"/>
          <w:sz w:val="30"/>
          <w:szCs w:val="24"/>
        </w:rPr>
        <w:t>第三部分  202</w:t>
      </w:r>
      <w:r>
        <w:rPr>
          <w:rFonts w:hint="eastAsia" w:ascii="方正小标宋简体" w:hAnsi="方正小标宋简体" w:eastAsia="方正小标宋简体"/>
          <w:sz w:val="30"/>
          <w:szCs w:val="24"/>
          <w:lang w:val="en-US" w:eastAsia="zh-CN"/>
        </w:rPr>
        <w:t>3</w:t>
      </w:r>
      <w:r>
        <w:rPr>
          <w:rFonts w:hint="eastAsia" w:ascii="方正小标宋简体" w:hAnsi="方正小标宋简体" w:eastAsia="方正小标宋简体"/>
          <w:sz w:val="30"/>
          <w:szCs w:val="24"/>
        </w:rPr>
        <w:t>年度部门决算情况说明</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六、一般公共预算财政拨款基本支出决算情况说明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九、一般公共预算财政拨款“三公”经费支出决算情况说明</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十、机关运行经费支出情况说明</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十一、政府采购支出情况说明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p>
    <w:p>
      <w:pPr>
        <w:tabs>
          <w:tab w:val="right" w:leader="dot" w:pos="8306"/>
        </w:tabs>
        <w:spacing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十四、教育、医疗卫生、社会保障和就业、住房保障、涉农补贴等民生支出情况说明</w:t>
      </w:r>
    </w:p>
    <w:p>
      <w:pPr>
        <w:tabs>
          <w:tab w:val="right" w:leader="dot" w:pos="8306"/>
        </w:tabs>
        <w:spacing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p>
    <w:p>
      <w:pPr>
        <w:autoSpaceDE w:val="0"/>
        <w:autoSpaceDN w:val="0"/>
        <w:adjustRightInd w:val="0"/>
        <w:spacing w:line="700" w:lineRule="exact"/>
        <w:jc w:val="left"/>
        <w:rPr>
          <w:rFonts w:ascii="Times New Roman" w:hAnsi="Times New Roman" w:eastAsia="黑体" w:cs="黑体"/>
          <w:b/>
          <w:bCs/>
          <w:sz w:val="30"/>
          <w:szCs w:val="30"/>
          <w:highlight w:val="none"/>
          <w:lang w:val="zh-CN"/>
        </w:rPr>
      </w:pP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sectPr>
          <w:pgSz w:w="12240" w:h="15840"/>
          <w:pgMar w:top="1440" w:right="1800" w:bottom="1440" w:left="1800" w:header="720" w:footer="720" w:gutter="0"/>
          <w:cols w:space="720" w:num="1"/>
        </w:sectPr>
      </w:pPr>
    </w:p>
    <w:p>
      <w:pPr>
        <w:pStyle w:val="2"/>
        <w:keepNext/>
        <w:keepLines/>
        <w:widowControl w:val="0"/>
        <w:numPr>
          <w:ilvl w:val="0"/>
          <w:numId w:val="1"/>
        </w:numPr>
        <w:spacing w:line="600" w:lineRule="exact"/>
        <w:jc w:val="center"/>
        <w:outlineLvl w:val="9"/>
        <w:rPr>
          <w:rFonts w:hint="eastAsia" w:ascii="方正小标宋简体" w:hAnsi="方正小标宋简体" w:eastAsia="方正小标宋简体" w:cs="Times New Roman"/>
          <w:kern w:val="44"/>
          <w:sz w:val="44"/>
          <w:szCs w:val="24"/>
          <w:lang w:val="en-US"/>
        </w:rPr>
      </w:pPr>
      <w:r>
        <w:rPr>
          <w:rFonts w:hint="eastAsia" w:ascii="方正小标宋简体" w:hAnsi="方正小标宋简体" w:eastAsia="方正小标宋简体" w:cs="Times New Roman"/>
          <w:kern w:val="44"/>
          <w:sz w:val="44"/>
          <w:szCs w:val="24"/>
          <w:lang w:val="en-US" w:eastAsia="zh-CN"/>
        </w:rPr>
        <w:t xml:space="preserve"> </w:t>
      </w:r>
      <w:r>
        <w:rPr>
          <w:rFonts w:hint="eastAsia" w:ascii="方正小标宋简体" w:hAnsi="方正小标宋简体" w:eastAsia="方正小标宋简体" w:cs="Times New Roman"/>
          <w:kern w:val="44"/>
          <w:sz w:val="44"/>
          <w:szCs w:val="24"/>
          <w:lang w:val="en-US"/>
        </w:rPr>
        <w:t>概</w:t>
      </w:r>
      <w:r>
        <w:rPr>
          <w:rFonts w:hint="eastAsia" w:ascii="方正小标宋简体" w:hAnsi="方正小标宋简体" w:eastAsia="方正小标宋简体" w:cs="Times New Roman"/>
          <w:kern w:val="44"/>
          <w:sz w:val="44"/>
          <w:szCs w:val="24"/>
          <w:lang w:val="en-US" w:eastAsia="zh-CN"/>
        </w:rPr>
        <w:t xml:space="preserve"> </w:t>
      </w:r>
      <w:r>
        <w:rPr>
          <w:rFonts w:hint="eastAsia" w:ascii="方正小标宋简体" w:hAnsi="方正小标宋简体" w:eastAsia="方正小标宋简体" w:cs="Times New Roman"/>
          <w:kern w:val="44"/>
          <w:sz w:val="44"/>
          <w:szCs w:val="24"/>
          <w:lang w:val="en-US"/>
        </w:rPr>
        <w:t>况</w:t>
      </w:r>
    </w:p>
    <w:p>
      <w:pPr>
        <w:pStyle w:val="2"/>
        <w:keepNext/>
        <w:keepLines/>
        <w:widowControl w:val="0"/>
        <w:numPr>
          <w:ilvl w:val="0"/>
          <w:numId w:val="0"/>
        </w:numPr>
        <w:spacing w:line="600" w:lineRule="exact"/>
        <w:jc w:val="both"/>
        <w:outlineLvl w:val="9"/>
        <w:rPr>
          <w:rFonts w:hint="eastAsia" w:ascii="方正小标宋简体" w:hAnsi="方正小标宋简体" w:eastAsia="方正小标宋简体" w:cs="Times New Roman"/>
          <w:kern w:val="44"/>
          <w:sz w:val="44"/>
          <w:szCs w:val="24"/>
          <w:lang w:val="en-US"/>
        </w:rPr>
      </w:pPr>
    </w:p>
    <w:p>
      <w:pPr>
        <w:pStyle w:val="3"/>
        <w:keepNext/>
        <w:keepLines/>
        <w:widowControl w:val="0"/>
        <w:spacing w:line="600" w:lineRule="exact"/>
        <w:ind w:firstLine="600"/>
        <w:jc w:val="left"/>
        <w:outlineLvl w:val="9"/>
        <w:rPr>
          <w:rFonts w:hint="eastAsia" w:ascii="黑体" w:hAnsi="黑体" w:eastAsia="黑体" w:cs="Times New Roman"/>
          <w:kern w:val="0"/>
          <w:sz w:val="30"/>
          <w:szCs w:val="24"/>
          <w:lang w:val="en-US"/>
        </w:rPr>
      </w:pPr>
      <w:r>
        <w:rPr>
          <w:rFonts w:hint="eastAsia" w:ascii="黑体" w:hAnsi="黑体" w:eastAsia="黑体" w:cs="Times New Roman"/>
          <w:kern w:val="0"/>
          <w:sz w:val="30"/>
          <w:szCs w:val="24"/>
          <w:lang w:val="en-US"/>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_GB2312" w:hAnsi="仿宋_GB2312" w:eastAsia="仿宋_GB2312" w:cs="Times New Roman"/>
          <w:kern w:val="0"/>
          <w:sz w:val="30"/>
          <w:szCs w:val="24"/>
          <w:lang w:val="en-US" w:eastAsia="zh-CN"/>
          <w14:ligatures w14:val="none"/>
        </w:rPr>
      </w:pPr>
      <w:r>
        <w:rPr>
          <w:rFonts w:hint="eastAsia" w:ascii="仿宋_GB2312" w:hAnsi="仿宋_GB2312" w:eastAsia="仿宋_GB2312" w:cs="Times New Roman"/>
          <w:kern w:val="0"/>
          <w:sz w:val="30"/>
          <w:szCs w:val="24"/>
          <w:lang w:val="en-US" w:eastAsia="zh-CN"/>
          <w14:ligatures w14:val="none"/>
        </w:rPr>
        <w:t>（一）妥善管理各核算部门银行账户，按照财政部预算管理一体化要求分户设置会计账簿，办理资金结算，定期核对账户余额，做好支付资金的稽核工作。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（二）审核各核算部门的原始凭证、编制记账凭证，登记相关会计账簿。</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（三）根据政府会计制度，按月出具相关财务报表，协助各核算部门分析财务收支情况。</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（四）按照组织人事部门核定结果，配合完成管委会内设部门及专业工作机构授薪内职工薪资发放业务。</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（五）按照《会计档案管理办法》要求，代各核算部门保管会计档案。</w:t>
      </w:r>
      <w:r>
        <w:rPr>
          <w:rFonts w:hint="eastAsia" w:ascii="仿宋_GB2312" w:hAnsi="仿宋_GB2312" w:eastAsia="仿宋_GB2312" w:cs="Times New Roman"/>
          <w:kern w:val="0"/>
          <w:sz w:val="30"/>
          <w:szCs w:val="24"/>
          <w:lang w:val="en-US" w:eastAsia="zh-CN"/>
          <w14:ligatures w14:val="none"/>
        </w:rPr>
        <w:br w:type="textWrapping"/>
      </w:r>
      <w:r>
        <w:rPr>
          <w:rFonts w:hint="eastAsia" w:ascii="仿宋_GB2312" w:hAnsi="仿宋_GB2312" w:eastAsia="仿宋_GB2312" w:cs="Times New Roman"/>
          <w:kern w:val="0"/>
          <w:sz w:val="30"/>
          <w:szCs w:val="24"/>
          <w:lang w:val="en-US" w:eastAsia="zh-CN"/>
          <w14:ligatures w14:val="none"/>
        </w:rPr>
        <w:t xml:space="preserve">    （六）</w:t>
      </w:r>
      <w:r>
        <w:rPr>
          <w:rFonts w:hint="eastAsia" w:ascii="仿宋_GB2312" w:hAnsi="仿宋_GB2312" w:eastAsia="仿宋_GB2312" w:cs="Times New Roman"/>
          <w:sz w:val="30"/>
          <w:szCs w:val="24"/>
          <w:lang w:val="en-US" w:eastAsia="zh-CN"/>
        </w:rPr>
        <w:t>承办党委、管委会及上级部门交办的其他事项。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仿宋_GB2312" w:hAnsi="仿宋_GB2312" w:eastAsia="仿宋_GB2312" w:cs="Times New Roman"/>
          <w:kern w:val="0"/>
          <w:sz w:val="30"/>
          <w:szCs w:val="24"/>
          <w:lang w:val="zh-CN" w:eastAsia="zh-CN"/>
          <w14:ligatures w14:val="none"/>
        </w:rPr>
      </w:pPr>
      <w:r>
        <w:rPr>
          <w:rFonts w:hint="eastAsia" w:ascii="仿宋_GB2312" w:hAnsi="仿宋_GB2312" w:eastAsia="仿宋_GB2312" w:cs="Times New Roman"/>
          <w:kern w:val="0"/>
          <w:sz w:val="30"/>
          <w:szCs w:val="24"/>
          <w:lang w:val="en-US" w:eastAsia="zh-CN"/>
          <w14:ligatures w14:val="none"/>
        </w:rPr>
        <w:t>财务中心内设4个职能科室。纳入</w:t>
      </w:r>
      <w:r>
        <w:rPr>
          <w:rFonts w:hint="eastAsia" w:ascii="仿宋_GB2312" w:hAnsi="仿宋_GB2312" w:eastAsia="仿宋_GB2312" w:cs="Times New Roman"/>
          <w:kern w:val="0"/>
          <w:sz w:val="30"/>
          <w:szCs w:val="24"/>
          <w:lang w:val="zh-CN" w:eastAsia="zh-CN"/>
          <w14:ligatures w14:val="none"/>
        </w:rPr>
        <w:t>天津经济技术开发区财务中心</w:t>
      </w:r>
      <w:r>
        <w:rPr>
          <w:rFonts w:hint="eastAsia" w:ascii="仿宋_GB2312" w:hAnsi="仿宋_GB2312" w:eastAsia="仿宋_GB2312" w:cs="Times New Roman"/>
          <w:kern w:val="0"/>
          <w:sz w:val="30"/>
          <w:szCs w:val="24"/>
          <w:lang w:val="en-US" w:eastAsia="zh-CN"/>
          <w14:ligatures w14:val="none"/>
        </w:rPr>
        <w:t>2023年度部门决算编制范围的单位包括：天津经济技术开发区财务中心本级。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autoSpaceDE w:val="0"/>
        <w:autoSpaceDN w:val="0"/>
        <w:adjustRightInd w:val="0"/>
        <w:spacing w:line="800" w:lineRule="exact"/>
        <w:ind w:firstLine="600" w:firstLineChars="200"/>
        <w:jc w:val="left"/>
        <w:rPr>
          <w:rFonts w:hint="eastAsia"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ind w:firstLine="600" w:firstLineChars="200"/>
        <w:jc w:val="left"/>
        <w:rPr>
          <w:rFonts w:hint="eastAsia" w:ascii="Times New Roman" w:hAnsi="Times New Roman" w:eastAsia="黑体" w:cs="黑体"/>
          <w:kern w:val="0"/>
          <w:sz w:val="30"/>
          <w:szCs w:val="30"/>
          <w:highlight w:val="none"/>
        </w:rPr>
      </w:pPr>
    </w:p>
    <w:p>
      <w:pPr>
        <w:autoSpaceDE w:val="0"/>
        <w:autoSpaceDN w:val="0"/>
        <w:adjustRightInd w:val="0"/>
        <w:spacing w:line="800" w:lineRule="exact"/>
        <w:ind w:firstLine="600" w:firstLineChars="200"/>
        <w:jc w:val="left"/>
        <w:rPr>
          <w:rFonts w:hint="eastAsia" w:ascii="Times New Roman" w:hAnsi="Times New Roman" w:eastAsia="黑体" w:cs="黑体"/>
          <w:kern w:val="0"/>
          <w:sz w:val="30"/>
          <w:szCs w:val="30"/>
          <w:highlight w:val="none"/>
        </w:rPr>
      </w:pPr>
    </w:p>
    <w:p>
      <w:pPr>
        <w:autoSpaceDE w:val="0"/>
        <w:autoSpaceDN w:val="0"/>
        <w:adjustRightInd w:val="0"/>
        <w:spacing w:line="800" w:lineRule="exact"/>
        <w:ind w:firstLine="600" w:firstLineChars="200"/>
        <w:jc w:val="left"/>
        <w:rPr>
          <w:rFonts w:hint="eastAsia" w:ascii="Times New Roman" w:hAnsi="Times New Roman" w:eastAsia="黑体" w:cs="黑体"/>
          <w:kern w:val="0"/>
          <w:sz w:val="30"/>
          <w:szCs w:val="30"/>
          <w:highlight w:val="none"/>
        </w:rPr>
      </w:pPr>
    </w:p>
    <w:p>
      <w:pPr>
        <w:autoSpaceDE w:val="0"/>
        <w:autoSpaceDN w:val="0"/>
        <w:adjustRightInd w:val="0"/>
        <w:spacing w:line="800" w:lineRule="exact"/>
        <w:ind w:firstLine="602" w:firstLineChars="2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1.天津经济技术开发区财务中心2023年度政府性基金预算财政拨款收入支出决算表为空表。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2.天津经济技术开发区财务中心2023年度国有资本经营预算财政拨款收入支出决算表为空表。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3.天津经济技术开发区财务中心2023年度财政拨款“三公”经费支出决算表为空表。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天津经济技术开发区财务中心2023年度收入、支出决算总计</w:t>
      </w:r>
      <w:r>
        <w:rPr>
          <w:rFonts w:hint="eastAsia" w:ascii="Times New Roman" w:hAnsi="Times New Roman" w:eastAsia="仿宋_GB2312" w:cs="仿宋_GB2312"/>
          <w:sz w:val="30"/>
          <w:szCs w:val="30"/>
          <w:highlight w:val="none"/>
          <w:lang w:eastAsia="zh-CN"/>
        </w:rPr>
        <w:t>6,347,559.85元，与2022年度相比，收、支总计各减少263,675.51元，下降3.99%，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：按照“真过紧日子精神”，在预算执行中压减经费支出。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天津经济技术开发区财务中心2023年度本年收入合计6,347,559.85元，与2022年度相比减少263,675.51元，主要原因是：按照“真过紧日子精神”，在预算执行中压减经费支出。</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6,347,559.85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6,347,559.85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263,675.31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按照“真过紧日子精神”，在预算执行中压减经费支出。</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6,300,925.12元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99.27</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46,634.73元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占0.73%。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天津经济技术开发区财务中心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6,347,559.85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263,675.31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3.99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按照“真过紧日子精神”，在预算执行中压减经费支出。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计6,347,559.85元，占本年支出合计的100.0%，与2022年度相比，一般公共预算财政拨款支出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263,675.31元，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3.99%，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：按照“真过紧日子精神”，在预算执行中压减经费支出。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6,347,559.85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w:t>
      </w:r>
      <w:r>
        <w:rPr>
          <w:rFonts w:hint="eastAsia" w:ascii="Times New Roman" w:hAnsi="Times New Roman" w:eastAsia="仿宋_GB2312" w:cs="Times New Roman"/>
          <w:sz w:val="30"/>
          <w:szCs w:val="30"/>
          <w:highlight w:val="none"/>
          <w:lang w:eastAsia="zh-CN"/>
        </w:rPr>
        <w:t>6,347,559.85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，占100.00%。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7,162,700.00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6,347,559.85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88.62%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一般公共服务支出（类）财政事务（款）事业运行（项）年初预算为</w:t>
      </w:r>
      <w:r>
        <w:rPr>
          <w:rFonts w:hint="eastAsia" w:ascii="Times New Roman" w:hAnsi="Times New Roman" w:eastAsia="仿宋_GB2312" w:cs="Times New Roman"/>
          <w:sz w:val="30"/>
          <w:szCs w:val="30"/>
          <w:highlight w:val="none"/>
          <w:lang w:eastAsia="zh-CN"/>
        </w:rPr>
        <w:t>7,162,700.00</w:t>
      </w:r>
      <w:r>
        <w:rPr>
          <w:rFonts w:hint="eastAsia" w:ascii="Times New Roman" w:hAnsi="Times New Roman" w:eastAsia="仿宋_GB2312" w:cs="仿宋_GB2312"/>
          <w:sz w:val="30"/>
          <w:szCs w:val="30"/>
          <w:highlight w:val="none"/>
          <w:lang w:eastAsia="zh-CN"/>
        </w:rPr>
        <w:t>元，支出决算为</w:t>
      </w:r>
      <w:r>
        <w:rPr>
          <w:rFonts w:hint="eastAsia" w:ascii="Times New Roman" w:hAnsi="Times New Roman" w:eastAsia="仿宋_GB2312" w:cs="Times New Roman"/>
          <w:sz w:val="30"/>
          <w:szCs w:val="30"/>
          <w:highlight w:val="none"/>
          <w:lang w:eastAsia="zh-CN"/>
        </w:rPr>
        <w:t>6,347,559.85</w:t>
      </w:r>
      <w:r>
        <w:rPr>
          <w:rFonts w:hint="eastAsia" w:ascii="Times New Roman" w:hAnsi="Times New Roman" w:eastAsia="仿宋_GB2312" w:cs="仿宋_GB2312"/>
          <w:sz w:val="30"/>
          <w:szCs w:val="30"/>
          <w:highlight w:val="none"/>
          <w:lang w:eastAsia="zh-CN"/>
        </w:rPr>
        <w:t>元，完成年初预算的88.62%，决算数小于年初预算数的主要原因是按照“真过紧日子精神”，在预算执行中压减经费支出。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天津经济技术开发区财务中心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6,300,925.12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138,599.26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按照“真过紧日子精神”，在预算执行中压减经费支出。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天津经济技术开发区财务中心2023年度无政府性基金预算财政拨款收入、支出和结转结余。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lang w:eastAsia="zh-CN"/>
        </w:rPr>
        <w:t>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的主要原因是：本年度未用财政拨款经费列支公务用车购置及运行维护费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的主要原因是：本年度未用财政拨款经费列支公务用车运行维护费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的主要原因是：本年度未用财政拨款经费列支</w:t>
      </w:r>
      <w:r>
        <w:rPr>
          <w:rFonts w:hint="eastAsia" w:ascii="Times New Roman" w:hAnsi="Times New Roman" w:eastAsia="仿宋_GB2312" w:cs="仿宋_GB2312"/>
          <w:kern w:val="0"/>
          <w:sz w:val="30"/>
          <w:szCs w:val="30"/>
          <w:highlight w:val="none"/>
          <w:lang w:val="en-US" w:eastAsia="zh-CN"/>
        </w:rPr>
        <w:t>公务用车购置</w:t>
      </w:r>
      <w:r>
        <w:rPr>
          <w:rFonts w:hint="eastAsia" w:ascii="Times New Roman" w:hAnsi="Times New Roman" w:eastAsia="仿宋_GB2312" w:cs="仿宋_GB2312"/>
          <w:kern w:val="0"/>
          <w:sz w:val="30"/>
          <w:szCs w:val="30"/>
          <w:highlight w:val="none"/>
        </w:rPr>
        <w:t>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的主要原因是：本年度未用财政拨款经费列支公务接待费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both"/>
        <w:rPr>
          <w:rFonts w:hint="eastAsia" w:ascii="仿宋_GB2312" w:hAnsi="仿宋_GB2312" w:eastAsia="仿宋_GB2312" w:cs="Times New Roman"/>
          <w:kern w:val="2"/>
          <w:sz w:val="30"/>
          <w:szCs w:val="24"/>
          <w:lang w:val="en-US" w:eastAsia="zh-CN"/>
          <w14:ligatures w14:val="none"/>
        </w:rPr>
      </w:pPr>
      <w:r>
        <w:rPr>
          <w:rFonts w:hint="eastAsia" w:ascii="仿宋_GB2312" w:hAnsi="仿宋_GB2312" w:eastAsia="仿宋_GB2312" w:cs="Times New Roman"/>
          <w:kern w:val="2"/>
          <w:sz w:val="30"/>
          <w:szCs w:val="24"/>
          <w:lang w:val="en-US" w:eastAsia="zh-CN"/>
          <w14:ligatures w14:val="none"/>
        </w:rPr>
        <w:t>天津经济技术开发区财务中心2023年度无机关运行经费。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580" w:lineRule="exact"/>
        <w:ind w:firstLine="600"/>
        <w:jc w:val="both"/>
        <w:rPr>
          <w:rFonts w:hint="eastAsia" w:ascii="仿宋_GB2312" w:hAnsi="仿宋_GB2312" w:eastAsia="仿宋_GB2312" w:cs="Times New Roman"/>
          <w:kern w:val="2"/>
          <w:sz w:val="30"/>
          <w:szCs w:val="24"/>
          <w:lang w:val="en-US" w:eastAsia="zh-CN"/>
          <w14:ligatures w14:val="none"/>
        </w:rPr>
      </w:pPr>
      <w:r>
        <w:rPr>
          <w:rFonts w:hint="eastAsia" w:ascii="仿宋_GB2312" w:hAnsi="仿宋_GB2312" w:eastAsia="仿宋_GB2312" w:cs="Times New Roman"/>
          <w:kern w:val="2"/>
          <w:sz w:val="30"/>
          <w:szCs w:val="24"/>
          <w:lang w:val="en-US" w:eastAsia="zh-CN"/>
          <w14:ligatures w14:val="none"/>
        </w:rPr>
        <w:t>天津经济技术开发区财务中心2023年政府采购支出总额10,540.00元，其中：政府采购货物支出10,540.00元、政府采购工程支出0.00元、政府采购服务支出0.00元。授予中小企业合同金额10,540.00元，占政府采购支出总额的100.0%。其中：授予小微企业合同金额10,540.00元，占政府采购支出总额的100.0%；货物采购授予中小企业合同金额占货物支出金额的100.0%，工程采购授予中小企业合同金额占工程支出金额的0.0%，服务采购授予中小企业合同金额占服务支出金额的0.0%。</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天津经济技术开发区财务中心2023年度无国有资产占有使用情况。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w:t>
      </w:r>
      <w:r>
        <w:rPr>
          <w:rFonts w:hint="eastAsia" w:ascii="Times New Roman" w:hAnsi="Times New Roman" w:eastAsia="仿宋_GB2312" w:cs="仿宋_GB2312"/>
          <w:sz w:val="30"/>
          <w:szCs w:val="30"/>
          <w:highlight w:val="none"/>
          <w:lang w:val="en-US" w:eastAsia="zh-CN"/>
        </w:rPr>
        <w:t>财务中心</w:t>
      </w:r>
      <w:r>
        <w:rPr>
          <w:rFonts w:hint="eastAsia" w:ascii="Times New Roman" w:hAnsi="Times New Roman" w:eastAsia="仿宋_GB2312" w:cs="仿宋_GB2312"/>
          <w:sz w:val="30"/>
          <w:szCs w:val="30"/>
          <w:highlight w:val="none"/>
          <w:lang w:eastAsia="zh-CN"/>
        </w:rPr>
        <w:t>2023年度已</w:t>
      </w:r>
      <w:r>
        <w:rPr>
          <w:rFonts w:hint="eastAsia" w:ascii="Times New Roman" w:hAnsi="Times New Roman" w:eastAsia="仿宋_GB2312" w:cs="仿宋_GB2312"/>
          <w:sz w:val="30"/>
          <w:szCs w:val="30"/>
          <w:highlight w:val="none"/>
          <w:lang w:val="en-US" w:eastAsia="zh-CN"/>
        </w:rPr>
        <w:t>对2</w:t>
      </w:r>
      <w:r>
        <w:rPr>
          <w:rFonts w:hint="eastAsia" w:ascii="Times New Roman" w:hAnsi="Times New Roman" w:eastAsia="仿宋_GB2312" w:cs="仿宋_GB2312"/>
          <w:sz w:val="30"/>
          <w:szCs w:val="30"/>
          <w:highlight w:val="none"/>
          <w:lang w:eastAsia="zh-CN"/>
        </w:rPr>
        <w:t>个</w:t>
      </w:r>
      <w:r>
        <w:rPr>
          <w:rFonts w:hint="eastAsia" w:ascii="Times New Roman" w:hAnsi="Times New Roman" w:eastAsia="仿宋_GB2312" w:cs="仿宋_GB2312"/>
          <w:sz w:val="30"/>
          <w:szCs w:val="30"/>
          <w:highlight w:val="none"/>
          <w:lang w:val="en-US" w:eastAsia="zh-CN"/>
        </w:rPr>
        <w:t>区级</w:t>
      </w:r>
      <w:r>
        <w:rPr>
          <w:rFonts w:hint="eastAsia" w:ascii="Times New Roman" w:hAnsi="Times New Roman" w:eastAsia="仿宋_GB2312" w:cs="仿宋_GB2312"/>
          <w:sz w:val="30"/>
          <w:szCs w:val="30"/>
          <w:highlight w:val="none"/>
          <w:lang w:eastAsia="zh-CN"/>
        </w:rPr>
        <w:t>项目开展绩效自评，涉及金额</w:t>
      </w:r>
      <w:r>
        <w:rPr>
          <w:rFonts w:hint="eastAsia" w:ascii="Times New Roman" w:hAnsi="Times New Roman" w:eastAsia="仿宋_GB2312" w:cs="仿宋_GB2312"/>
          <w:sz w:val="30"/>
          <w:szCs w:val="30"/>
          <w:highlight w:val="none"/>
          <w:lang w:val="en-US" w:eastAsia="zh-CN"/>
        </w:rPr>
        <w:t>46634.73</w:t>
      </w:r>
      <w:r>
        <w:rPr>
          <w:rFonts w:hint="eastAsia" w:ascii="Times New Roman" w:hAnsi="Times New Roman" w:eastAsia="仿宋_GB2312" w:cs="仿宋_GB2312"/>
          <w:sz w:val="30"/>
          <w:szCs w:val="30"/>
          <w:highlight w:val="none"/>
          <w:lang w:eastAsia="zh-CN"/>
        </w:rPr>
        <w:t>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天津经济技术开发区财务中心不属于乡、镇、街级单位，不涉及公开2023年度教育、医疗卫生、社会保障和就业、住房保障、涉农补贴等民生支出情况。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7AEE8"/>
    <w:multiLevelType w:val="singleLevel"/>
    <w:tmpl w:val="5597AEE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3MGUzZjI3ZjFjY2UyOWYzZjgzODhlZDYzN2JkO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5E20AC"/>
    <w:rsid w:val="05CA273A"/>
    <w:rsid w:val="05E55C53"/>
    <w:rsid w:val="067760CD"/>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CC3673"/>
    <w:rsid w:val="1DFB572F"/>
    <w:rsid w:val="1EC5396A"/>
    <w:rsid w:val="1EFB0588"/>
    <w:rsid w:val="202576C3"/>
    <w:rsid w:val="20DB5BFD"/>
    <w:rsid w:val="21365D81"/>
    <w:rsid w:val="21556D90"/>
    <w:rsid w:val="21C24E94"/>
    <w:rsid w:val="21D73FEC"/>
    <w:rsid w:val="230E77A7"/>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F507DC"/>
    <w:rsid w:val="32146967"/>
    <w:rsid w:val="32443D30"/>
    <w:rsid w:val="324A2E0F"/>
    <w:rsid w:val="32672F3B"/>
    <w:rsid w:val="33032C66"/>
    <w:rsid w:val="332D3FC0"/>
    <w:rsid w:val="354D7E20"/>
    <w:rsid w:val="35747E49"/>
    <w:rsid w:val="35823AFA"/>
    <w:rsid w:val="358C1096"/>
    <w:rsid w:val="35B6328D"/>
    <w:rsid w:val="35F44AE6"/>
    <w:rsid w:val="36144696"/>
    <w:rsid w:val="36580FD3"/>
    <w:rsid w:val="37887478"/>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6E42A34"/>
    <w:rsid w:val="5713248B"/>
    <w:rsid w:val="57833AC4"/>
    <w:rsid w:val="578735B4"/>
    <w:rsid w:val="579655A5"/>
    <w:rsid w:val="585572D3"/>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0F0134"/>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DCD1E5F"/>
    <w:rsid w:val="6DED35C9"/>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0B10D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3920</Words>
  <Characters>4478</Characters>
  <Lines>82</Lines>
  <Paragraphs>23</Paragraphs>
  <TotalTime>18</TotalTime>
  <ScaleCrop>false</ScaleCrop>
  <LinksUpToDate>false</LinksUpToDate>
  <CharactersWithSpaces>4565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user</cp:lastModifiedBy>
  <dcterms:modified xsi:type="dcterms:W3CDTF">2024-10-15T06:01:37Z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E84491B741EC4514B98EB08EAE186BC5</vt:lpwstr>
  </property>
</Properties>
</file>