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1C27E">
      <w:pPr>
        <w:spacing w:line="580" w:lineRule="exact"/>
        <w:jc w:val="center"/>
        <w:rPr>
          <w:rFonts w:hint="eastAsia" w:eastAsia="黑体"/>
          <w:w w:val="95"/>
          <w:sz w:val="44"/>
          <w:szCs w:val="44"/>
        </w:rPr>
      </w:pPr>
    </w:p>
    <w:p w14:paraId="47B57D86">
      <w:pPr>
        <w:spacing w:line="580" w:lineRule="exact"/>
        <w:jc w:val="center"/>
        <w:rPr>
          <w:rFonts w:eastAsia="黑体"/>
          <w:w w:val="95"/>
          <w:sz w:val="44"/>
          <w:szCs w:val="44"/>
        </w:rPr>
      </w:pPr>
    </w:p>
    <w:p w14:paraId="14146026">
      <w:pPr>
        <w:spacing w:line="580" w:lineRule="exact"/>
        <w:jc w:val="center"/>
        <w:rPr>
          <w:rFonts w:eastAsia="黑体"/>
          <w:w w:val="95"/>
          <w:sz w:val="44"/>
          <w:szCs w:val="44"/>
        </w:rPr>
      </w:pPr>
    </w:p>
    <w:p w14:paraId="0CFCF6D7">
      <w:pPr>
        <w:spacing w:line="580" w:lineRule="exact"/>
        <w:jc w:val="center"/>
        <w:rPr>
          <w:rFonts w:eastAsia="黑体"/>
          <w:w w:val="95"/>
          <w:sz w:val="44"/>
          <w:szCs w:val="44"/>
        </w:rPr>
      </w:pPr>
    </w:p>
    <w:p w14:paraId="047DCB75">
      <w:pPr>
        <w:spacing w:line="580" w:lineRule="exact"/>
        <w:jc w:val="center"/>
        <w:rPr>
          <w:rFonts w:eastAsia="黑体"/>
          <w:w w:val="95"/>
          <w:sz w:val="44"/>
          <w:szCs w:val="44"/>
        </w:rPr>
      </w:pPr>
    </w:p>
    <w:p w14:paraId="0C78D98B">
      <w:pPr>
        <w:spacing w:line="580" w:lineRule="exact"/>
        <w:jc w:val="center"/>
        <w:rPr>
          <w:rFonts w:eastAsia="黑体"/>
          <w:w w:val="95"/>
          <w:sz w:val="44"/>
          <w:szCs w:val="44"/>
        </w:rPr>
      </w:pPr>
    </w:p>
    <w:p w14:paraId="30722FA5">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天津经济技术开发区发展和改革局（天津经济技术开发区统计局）</w:t>
      </w:r>
      <w:r>
        <w:rPr>
          <w:rFonts w:hint="eastAsia" w:ascii="方正小标宋简体" w:hAnsi="方正小标宋简体" w:eastAsia="方正小标宋简体" w:cs="方正小标宋简体"/>
          <w:sz w:val="44"/>
          <w:szCs w:val="44"/>
        </w:rPr>
        <w:t>2025年部门预算</w:t>
      </w:r>
    </w:p>
    <w:p w14:paraId="18E26F27">
      <w:pPr>
        <w:spacing w:line="240" w:lineRule="auto"/>
        <w:jc w:val="center"/>
        <w:rPr>
          <w:rFonts w:hint="eastAsia" w:ascii="方正小标宋简体" w:hAnsi="方正小标宋简体" w:eastAsia="方正小标宋简体" w:cs="方正小标宋简体"/>
          <w:w w:val="95"/>
          <w:sz w:val="48"/>
          <w:szCs w:val="48"/>
        </w:rPr>
      </w:pPr>
    </w:p>
    <w:p w14:paraId="32AB3F00">
      <w:pPr>
        <w:spacing w:line="580" w:lineRule="exact"/>
        <w:jc w:val="center"/>
        <w:rPr>
          <w:rFonts w:hint="eastAsia" w:ascii="黑体" w:eastAsia="黑体"/>
          <w:sz w:val="30"/>
          <w:szCs w:val="30"/>
        </w:rPr>
      </w:pPr>
    </w:p>
    <w:p w14:paraId="0799C0B1">
      <w:pPr>
        <w:spacing w:line="580" w:lineRule="exact"/>
        <w:jc w:val="center"/>
        <w:rPr>
          <w:rFonts w:hint="eastAsia" w:ascii="黑体" w:eastAsia="黑体"/>
          <w:sz w:val="30"/>
          <w:szCs w:val="30"/>
        </w:rPr>
      </w:pPr>
    </w:p>
    <w:p w14:paraId="2246284D">
      <w:pPr>
        <w:spacing w:line="580" w:lineRule="exact"/>
        <w:jc w:val="center"/>
        <w:rPr>
          <w:rFonts w:hint="eastAsia" w:ascii="黑体" w:eastAsia="黑体"/>
          <w:sz w:val="30"/>
          <w:szCs w:val="30"/>
        </w:rPr>
      </w:pPr>
    </w:p>
    <w:p w14:paraId="049872A9">
      <w:pPr>
        <w:spacing w:line="580" w:lineRule="exact"/>
        <w:jc w:val="center"/>
        <w:rPr>
          <w:rFonts w:hint="eastAsia" w:ascii="黑体" w:eastAsia="黑体"/>
          <w:sz w:val="30"/>
          <w:szCs w:val="30"/>
        </w:rPr>
      </w:pPr>
    </w:p>
    <w:p w14:paraId="63D0132F">
      <w:pPr>
        <w:spacing w:line="580" w:lineRule="exact"/>
        <w:jc w:val="center"/>
        <w:rPr>
          <w:rFonts w:hint="eastAsia" w:ascii="黑体" w:eastAsia="黑体"/>
          <w:sz w:val="30"/>
          <w:szCs w:val="30"/>
        </w:rPr>
      </w:pPr>
    </w:p>
    <w:p w14:paraId="04BD257B">
      <w:pPr>
        <w:spacing w:line="580" w:lineRule="exact"/>
        <w:jc w:val="center"/>
        <w:rPr>
          <w:rFonts w:hint="eastAsia" w:ascii="黑体" w:eastAsia="黑体"/>
          <w:sz w:val="30"/>
          <w:szCs w:val="30"/>
        </w:rPr>
      </w:pPr>
    </w:p>
    <w:p w14:paraId="6B083D50">
      <w:pPr>
        <w:spacing w:line="580" w:lineRule="exact"/>
        <w:jc w:val="center"/>
        <w:rPr>
          <w:rFonts w:hint="eastAsia" w:ascii="黑体" w:eastAsia="黑体"/>
          <w:sz w:val="30"/>
          <w:szCs w:val="30"/>
        </w:rPr>
      </w:pPr>
    </w:p>
    <w:p w14:paraId="61B35CF0">
      <w:pPr>
        <w:spacing w:line="580" w:lineRule="exact"/>
        <w:jc w:val="center"/>
        <w:rPr>
          <w:rFonts w:hint="eastAsia" w:ascii="黑体" w:eastAsia="黑体"/>
          <w:sz w:val="30"/>
          <w:szCs w:val="30"/>
        </w:rPr>
      </w:pPr>
    </w:p>
    <w:p w14:paraId="49436972">
      <w:pPr>
        <w:spacing w:line="580" w:lineRule="exact"/>
        <w:jc w:val="center"/>
        <w:rPr>
          <w:rFonts w:hint="eastAsia" w:ascii="黑体" w:eastAsia="黑体"/>
          <w:sz w:val="30"/>
          <w:szCs w:val="30"/>
        </w:rPr>
      </w:pPr>
    </w:p>
    <w:p w14:paraId="589D2E87">
      <w:pPr>
        <w:spacing w:line="580" w:lineRule="exact"/>
        <w:jc w:val="center"/>
        <w:rPr>
          <w:rFonts w:hint="eastAsia" w:ascii="黑体" w:eastAsia="黑体"/>
          <w:sz w:val="44"/>
          <w:szCs w:val="44"/>
        </w:rPr>
      </w:pPr>
    </w:p>
    <w:p w14:paraId="44A1D8E1">
      <w:pPr>
        <w:spacing w:line="600" w:lineRule="exact"/>
        <w:jc w:val="center"/>
        <w:rPr>
          <w:rFonts w:hint="eastAsia" w:ascii="黑体" w:eastAsia="黑体"/>
          <w:sz w:val="44"/>
          <w:szCs w:val="44"/>
        </w:rPr>
      </w:pPr>
    </w:p>
    <w:p w14:paraId="3A82B3C7">
      <w:pPr>
        <w:spacing w:line="600" w:lineRule="exact"/>
        <w:jc w:val="center"/>
        <w:rPr>
          <w:rFonts w:hint="eastAsia" w:ascii="黑体" w:eastAsia="黑体"/>
          <w:sz w:val="44"/>
          <w:szCs w:val="44"/>
        </w:rPr>
      </w:pPr>
    </w:p>
    <w:p w14:paraId="006A2891">
      <w:pPr>
        <w:spacing w:line="600" w:lineRule="exact"/>
        <w:jc w:val="center"/>
        <w:rPr>
          <w:rFonts w:hint="eastAsia" w:ascii="黑体" w:eastAsia="黑体"/>
          <w:sz w:val="44"/>
          <w:szCs w:val="44"/>
        </w:rPr>
      </w:pPr>
    </w:p>
    <w:p w14:paraId="36CEE730">
      <w:pPr>
        <w:spacing w:line="600" w:lineRule="exact"/>
        <w:jc w:val="center"/>
        <w:rPr>
          <w:rFonts w:hint="eastAsia" w:ascii="黑体" w:eastAsia="黑体"/>
          <w:sz w:val="44"/>
          <w:szCs w:val="44"/>
        </w:rPr>
      </w:pPr>
      <w:r>
        <w:rPr>
          <w:rFonts w:hint="eastAsia" w:ascii="黑体" w:eastAsia="黑体"/>
          <w:sz w:val="44"/>
          <w:szCs w:val="44"/>
        </w:rPr>
        <w:t>目   录</w:t>
      </w:r>
    </w:p>
    <w:p w14:paraId="1BBB6F1A">
      <w:pPr>
        <w:spacing w:line="600" w:lineRule="exact"/>
        <w:rPr>
          <w:rFonts w:hint="eastAsia" w:ascii="黑体" w:eastAsia="黑体"/>
          <w:sz w:val="30"/>
          <w:szCs w:val="30"/>
        </w:rPr>
      </w:pPr>
    </w:p>
    <w:p w14:paraId="2B1314AA">
      <w:pPr>
        <w:spacing w:line="600" w:lineRule="exact"/>
        <w:rPr>
          <w:rFonts w:hint="eastAsia" w:ascii="仿宋_GB2312" w:hAnsi="Times New Roman" w:eastAsia="仿宋_GB2312"/>
          <w:b/>
          <w:sz w:val="32"/>
          <w:szCs w:val="32"/>
        </w:rPr>
      </w:pPr>
      <w:r>
        <w:rPr>
          <w:rFonts w:hint="eastAsia" w:ascii="仿宋_GB2312" w:hAnsi="Times New Roman" w:eastAsia="仿宋_GB2312"/>
          <w:b/>
          <w:sz w:val="32"/>
          <w:szCs w:val="32"/>
        </w:rPr>
        <w:t>第一部分  概 况</w:t>
      </w:r>
    </w:p>
    <w:p w14:paraId="16306DFB">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一、主要职责</w:t>
      </w:r>
    </w:p>
    <w:p w14:paraId="7E38F5E0">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二、机构设置情况</w:t>
      </w:r>
    </w:p>
    <w:p w14:paraId="1B165F37">
      <w:pPr>
        <w:spacing w:line="600" w:lineRule="exact"/>
        <w:rPr>
          <w:rFonts w:hint="eastAsia" w:ascii="仿宋_GB2312" w:hAnsi="Times New Roman" w:eastAsia="仿宋_GB2312"/>
          <w:b/>
          <w:sz w:val="32"/>
          <w:szCs w:val="32"/>
        </w:rPr>
      </w:pPr>
      <w:r>
        <w:rPr>
          <w:rFonts w:hint="eastAsia" w:ascii="仿宋_GB2312" w:hAnsi="Times New Roman" w:eastAsia="仿宋_GB2312"/>
          <w:b/>
          <w:sz w:val="32"/>
          <w:szCs w:val="32"/>
        </w:rPr>
        <w:t>第二部分  2025年部门预算情况说明</w:t>
      </w:r>
    </w:p>
    <w:p w14:paraId="5E9064C4">
      <w:pPr>
        <w:spacing w:line="600" w:lineRule="exact"/>
        <w:ind w:firstLine="633" w:firstLineChars="198"/>
        <w:rPr>
          <w:rFonts w:hint="eastAsia" w:ascii="仿宋_GB2312" w:hAnsi="Times New Roman" w:eastAsia="仿宋_GB2312"/>
          <w:b/>
          <w:sz w:val="32"/>
          <w:szCs w:val="32"/>
        </w:rPr>
      </w:pPr>
      <w:r>
        <w:rPr>
          <w:rFonts w:hint="eastAsia" w:ascii="仿宋_GB2312" w:hAnsi="Times New Roman" w:eastAsia="仿宋_GB2312"/>
          <w:sz w:val="32"/>
          <w:szCs w:val="32"/>
        </w:rPr>
        <w:t>一、关于收支预算总表的说明</w:t>
      </w:r>
    </w:p>
    <w:p w14:paraId="18906E2D">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二、关于收入预算总表的说明</w:t>
      </w:r>
    </w:p>
    <w:p w14:paraId="029B622D">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三、关于支出预算总表的说明</w:t>
      </w:r>
    </w:p>
    <w:p w14:paraId="020D2D8B">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四、关于财政拨款收支预算总表的说明</w:t>
      </w:r>
    </w:p>
    <w:p w14:paraId="3100315E">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五、关于财政拨款一般公共预算支出预算表的说明</w:t>
      </w:r>
    </w:p>
    <w:p w14:paraId="7E07129E">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六、关于财政拨款一般公共预算基本支出预算表的说明</w:t>
      </w:r>
    </w:p>
    <w:p w14:paraId="2905131E">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七、</w:t>
      </w:r>
      <w:r>
        <w:rPr>
          <w:rFonts w:hint="eastAsia" w:ascii="仿宋_GB2312" w:hAnsi="Times New Roman" w:eastAsia="仿宋_GB2312"/>
          <w:spacing w:val="-20"/>
          <w:sz w:val="32"/>
          <w:szCs w:val="32"/>
        </w:rPr>
        <w:t>关于财政拨款一般公共预算“三公”经费支出预算表的说明</w:t>
      </w:r>
    </w:p>
    <w:p w14:paraId="54352D66">
      <w:pPr>
        <w:spacing w:line="600" w:lineRule="exact"/>
        <w:ind w:left="1240" w:leftChars="250" w:hanging="640" w:hangingChars="200"/>
        <w:rPr>
          <w:rFonts w:hint="eastAsia" w:ascii="仿宋_GB2312" w:hAnsi="Times New Roman" w:eastAsia="仿宋_GB2312"/>
          <w:spacing w:val="-20"/>
          <w:sz w:val="32"/>
          <w:szCs w:val="32"/>
        </w:rPr>
      </w:pPr>
      <w:r>
        <w:rPr>
          <w:rFonts w:hint="eastAsia" w:ascii="仿宋_GB2312" w:hAnsi="Times New Roman" w:eastAsia="仿宋_GB2312"/>
          <w:sz w:val="32"/>
          <w:szCs w:val="32"/>
        </w:rPr>
        <w:t>八、关于财政拨款政府性基金预算支出预算表的说明</w:t>
      </w:r>
    </w:p>
    <w:p w14:paraId="0F732B5A">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九、关于国有资本经营预算支出预算表的说明</w:t>
      </w:r>
    </w:p>
    <w:p w14:paraId="35FB7488">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十、其他重要事项的情况说明</w:t>
      </w:r>
    </w:p>
    <w:p w14:paraId="5030DF60">
      <w:pPr>
        <w:spacing w:line="600" w:lineRule="exact"/>
        <w:rPr>
          <w:rFonts w:hint="eastAsia" w:ascii="仿宋_GB2312" w:hAnsi="Times New Roman" w:eastAsia="仿宋_GB2312"/>
          <w:b/>
          <w:sz w:val="32"/>
          <w:szCs w:val="32"/>
        </w:rPr>
      </w:pPr>
      <w:r>
        <w:rPr>
          <w:rFonts w:hint="eastAsia" w:ascii="仿宋_GB2312" w:hAnsi="Times New Roman" w:eastAsia="仿宋_GB2312"/>
          <w:b/>
          <w:sz w:val="32"/>
          <w:szCs w:val="32"/>
        </w:rPr>
        <w:t>第三部分  名词解释</w:t>
      </w:r>
    </w:p>
    <w:p w14:paraId="05C8278D">
      <w:pPr>
        <w:spacing w:line="600" w:lineRule="exact"/>
        <w:rPr>
          <w:rFonts w:hint="eastAsia" w:ascii="仿宋_GB2312" w:hAnsi="Times New Roman" w:eastAsia="仿宋_GB2312"/>
          <w:b/>
          <w:sz w:val="32"/>
          <w:szCs w:val="32"/>
        </w:rPr>
      </w:pPr>
      <w:r>
        <w:rPr>
          <w:rFonts w:hint="eastAsia" w:ascii="仿宋_GB2312" w:hAnsi="Times New Roman" w:eastAsia="仿宋_GB2312"/>
          <w:b/>
          <w:sz w:val="32"/>
          <w:szCs w:val="32"/>
        </w:rPr>
        <w:t>第四部分  2025年部门预算表</w:t>
      </w:r>
    </w:p>
    <w:p w14:paraId="7CC21CD4">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一、</w:t>
      </w:r>
      <w:r>
        <w:rPr>
          <w:rFonts w:ascii="仿宋_GB2312" w:hAnsi="Times New Roman" w:eastAsia="仿宋_GB2312"/>
          <w:sz w:val="32"/>
          <w:szCs w:val="32"/>
        </w:rPr>
        <w:t>2025年收支预算总表</w:t>
      </w:r>
    </w:p>
    <w:p w14:paraId="0F6F2505">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二、</w:t>
      </w:r>
      <w:r>
        <w:rPr>
          <w:rFonts w:ascii="仿宋_GB2312" w:hAnsi="Times New Roman" w:eastAsia="仿宋_GB2312"/>
          <w:sz w:val="32"/>
          <w:szCs w:val="32"/>
        </w:rPr>
        <w:t>2025年收入预算总表</w:t>
      </w:r>
    </w:p>
    <w:p w14:paraId="666B5290">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三、</w:t>
      </w:r>
      <w:r>
        <w:rPr>
          <w:rFonts w:ascii="仿宋_GB2312" w:hAnsi="Times New Roman" w:eastAsia="仿宋_GB2312"/>
          <w:sz w:val="32"/>
          <w:szCs w:val="32"/>
        </w:rPr>
        <w:t>2025年支出预算总表</w:t>
      </w:r>
    </w:p>
    <w:p w14:paraId="6A0C2806">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四、</w:t>
      </w:r>
      <w:r>
        <w:rPr>
          <w:rFonts w:ascii="仿宋_GB2312" w:hAnsi="Times New Roman" w:eastAsia="仿宋_GB2312"/>
          <w:sz w:val="32"/>
          <w:szCs w:val="32"/>
        </w:rPr>
        <w:t>2025年财政拨款收支预算总表</w:t>
      </w:r>
    </w:p>
    <w:p w14:paraId="3B2FD336">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五、</w:t>
      </w:r>
      <w:r>
        <w:rPr>
          <w:rFonts w:ascii="仿宋_GB2312" w:hAnsi="Times New Roman" w:eastAsia="仿宋_GB2312"/>
          <w:sz w:val="32"/>
          <w:szCs w:val="32"/>
        </w:rPr>
        <w:t>2025年财政拨款一般公共预算支出预算表</w:t>
      </w:r>
    </w:p>
    <w:p w14:paraId="2FB3C11E">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六、</w:t>
      </w:r>
      <w:r>
        <w:rPr>
          <w:rFonts w:ascii="仿宋_GB2312" w:hAnsi="Times New Roman" w:eastAsia="仿宋_GB2312"/>
          <w:sz w:val="32"/>
          <w:szCs w:val="32"/>
        </w:rPr>
        <w:t>2025年财政拨款一般公共预算基本支出预算表</w:t>
      </w:r>
    </w:p>
    <w:p w14:paraId="7F46ECBE">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七、2025年财政拨款一般公共预算“三公”经费支出预算表</w:t>
      </w:r>
    </w:p>
    <w:p w14:paraId="3FAFCAB3">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八、</w:t>
      </w:r>
      <w:r>
        <w:rPr>
          <w:rFonts w:ascii="仿宋_GB2312" w:hAnsi="Times New Roman" w:eastAsia="仿宋_GB2312"/>
          <w:sz w:val="32"/>
          <w:szCs w:val="32"/>
        </w:rPr>
        <w:t>2025年财政拨款政府性基金预算支出预算表</w:t>
      </w:r>
    </w:p>
    <w:p w14:paraId="4A8EBF4A">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九、2025年国有资本经营预算支出预算表</w:t>
      </w:r>
    </w:p>
    <w:p w14:paraId="70A52261">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十、</w:t>
      </w:r>
      <w:r>
        <w:rPr>
          <w:rFonts w:ascii="仿宋_GB2312" w:hAnsi="Times New Roman" w:eastAsia="仿宋_GB2312"/>
          <w:sz w:val="32"/>
          <w:szCs w:val="32"/>
        </w:rPr>
        <w:t>2025年项目支出预算表</w:t>
      </w:r>
    </w:p>
    <w:p w14:paraId="0C72DD16">
      <w:pPr>
        <w:spacing w:line="600" w:lineRule="exact"/>
        <w:ind w:firstLine="633" w:firstLineChars="198"/>
        <w:rPr>
          <w:rFonts w:ascii="仿宋_GB2312" w:hAnsi="Times New Roman" w:eastAsia="仿宋_GB2312"/>
          <w:sz w:val="32"/>
          <w:szCs w:val="32"/>
        </w:rPr>
      </w:pPr>
      <w:r>
        <w:rPr>
          <w:rFonts w:hint="eastAsia" w:ascii="仿宋_GB2312" w:hAnsi="Times New Roman" w:eastAsia="仿宋_GB2312"/>
          <w:sz w:val="32"/>
          <w:szCs w:val="32"/>
        </w:rPr>
        <w:t>十一、</w:t>
      </w:r>
      <w:r>
        <w:rPr>
          <w:rFonts w:ascii="仿宋_GB2312" w:hAnsi="Times New Roman" w:eastAsia="仿宋_GB2312"/>
          <w:sz w:val="32"/>
          <w:szCs w:val="32"/>
        </w:rPr>
        <w:t>2025年财政拨款政府采购预算表</w:t>
      </w:r>
    </w:p>
    <w:p w14:paraId="527A42F2">
      <w:pPr>
        <w:spacing w:line="600" w:lineRule="exact"/>
        <w:ind w:firstLine="633" w:firstLineChars="198"/>
        <w:rPr>
          <w:rFonts w:hint="eastAsia" w:ascii="仿宋_GB2312" w:hAnsi="Times New Roman" w:eastAsia="仿宋_GB2312"/>
          <w:sz w:val="32"/>
          <w:szCs w:val="32"/>
        </w:rPr>
      </w:pPr>
      <w:r>
        <w:rPr>
          <w:rFonts w:hint="eastAsia" w:ascii="仿宋_GB2312" w:hAnsi="Times New Roman" w:eastAsia="仿宋_GB2312"/>
          <w:sz w:val="32"/>
          <w:szCs w:val="32"/>
        </w:rPr>
        <w:t>十二、关于空表的说明</w:t>
      </w:r>
    </w:p>
    <w:p w14:paraId="2D8540B9">
      <w:pPr>
        <w:pStyle w:val="8"/>
        <w:tabs>
          <w:tab w:val="right" w:leader="dot" w:pos="8296"/>
        </w:tabs>
        <w:spacing w:line="600" w:lineRule="exact"/>
        <w:ind w:left="0"/>
        <w:rPr>
          <w:rFonts w:ascii="黑体" w:eastAsia="黑体"/>
          <w:sz w:val="32"/>
          <w:szCs w:val="32"/>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0D2598DB">
      <w:pPr>
        <w:pStyle w:val="2"/>
        <w:spacing w:line="600" w:lineRule="exact"/>
        <w:jc w:val="center"/>
        <w:rPr>
          <w:rFonts w:ascii="方正小标宋简体" w:hAnsi="方正小标宋简体" w:eastAsia="方正小标宋简体" w:cs="方正小标宋简体"/>
          <w:b w:val="0"/>
          <w:bCs/>
          <w:sz w:val="44"/>
          <w:szCs w:val="44"/>
        </w:rPr>
      </w:pPr>
      <w:bookmarkStart w:id="0" w:name="_Toc78784554"/>
      <w:r>
        <w:rPr>
          <w:rFonts w:hint="eastAsia" w:ascii="方正小标宋简体" w:hAnsi="方正小标宋简体" w:eastAsia="方正小标宋简体" w:cs="方正小标宋简体"/>
          <w:b w:val="0"/>
          <w:bCs/>
          <w:sz w:val="44"/>
          <w:szCs w:val="44"/>
        </w:rPr>
        <w:t>第一部分  概 况</w:t>
      </w:r>
      <w:bookmarkEnd w:id="0"/>
    </w:p>
    <w:p w14:paraId="3355752A">
      <w:pPr>
        <w:spacing w:line="600" w:lineRule="exact"/>
        <w:rPr>
          <w:rFonts w:hint="eastAsia"/>
        </w:rPr>
      </w:pPr>
    </w:p>
    <w:p w14:paraId="4D46B30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黑体" w:hAnsi="黑体" w:eastAsia="黑体" w:cs="黑体"/>
          <w:b w:val="0"/>
          <w:bCs/>
          <w:sz w:val="32"/>
          <w:szCs w:val="32"/>
        </w:rPr>
      </w:pPr>
      <w:bookmarkStart w:id="1" w:name="_Toc78784555"/>
      <w:r>
        <w:rPr>
          <w:rFonts w:hint="eastAsia" w:ascii="黑体" w:hAnsi="黑体" w:eastAsia="黑体" w:cs="黑体"/>
          <w:b w:val="0"/>
          <w:bCs/>
          <w:sz w:val="32"/>
          <w:szCs w:val="32"/>
        </w:rPr>
        <w:t>一、主要职责</w:t>
      </w:r>
      <w:bookmarkEnd w:id="1"/>
    </w:p>
    <w:p w14:paraId="5FA7F60C">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bookmarkStart w:id="2" w:name="_Toc78784556"/>
      <w:r>
        <w:rPr>
          <w:rFonts w:hint="eastAsia" w:ascii="仿宋_GB2312" w:hAnsi="Times New Roman" w:eastAsia="仿宋_GB2312"/>
          <w:color w:val="000000"/>
          <w:sz w:val="32"/>
          <w:szCs w:val="32"/>
        </w:rPr>
        <w:t>（一）贯彻执行有关国民经济和社会发展、统计等方面的法律、法规、规章和方针政策，并组织实施和监督检查。</w:t>
      </w:r>
    </w:p>
    <w:p w14:paraId="5FC16D55">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组织编制、监测评估经开区国民经济和社会发展中长期规划。组织、指导编制和衔接平衡各行业规划、专项规划。会同有关部门拟订现代服务业发展战略、规划，配合有关部门拟订先进制造业发展战略、规划。配合有关部门进行产业研究和招商政策制定。</w:t>
      </w:r>
    </w:p>
    <w:p w14:paraId="48E42F56">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（三）统筹推动经开区高质量发展的总体目标、重大任务以及相关政策。</w:t>
      </w:r>
    </w:p>
    <w:p w14:paraId="7043155E">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研究分析国内外和经开区经济形势，提出经济社会发展的年度总体发展目标及相关政策。开展经济运行分析、预测、监测和促进，协调解决经济运行中的重大问题，撰写经济运行分析报告。研究经济运行中的相关问题并提出政策建议。负责经济运行综合资料的编辑。负责年度发展报告编辑工作。</w:t>
      </w:r>
    </w:p>
    <w:p w14:paraId="051C0A9B">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五）负责经开区固定资产投资综合管理。拟订本区全社会固定资产投资计划，会同有关部门提出本区重点建设项目投资计划和重点项目前期工作计划，并推动实施。组织推动和协调重大项目的谋划、储备和建设工作。统筹编制政府投资项目三年滚动计划和年度投资计划。组织实施投资项目的事中、事后监管。组织推进政府投资项目各类中央预算内资金申报。会同有关部门组织开展地方政府专项债券、基础设施证券投资基金等相关申报工作。</w:t>
      </w:r>
    </w:p>
    <w:p w14:paraId="2AD27075">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（六）统筹推动社会信用体系建设相关工作，推动社会信用环境建设。</w:t>
      </w:r>
    </w:p>
    <w:p w14:paraId="62C28D91">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（七）统筹推动经开区区域协同发展等相关工作。负责对口衔接经开区京津冀协同发展战略实施，承担经开区京津冀协同发展领导小组办公室日常工作。</w:t>
      </w:r>
    </w:p>
    <w:p w14:paraId="02394AAA">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bookmarkStart w:id="14" w:name="_GoBack"/>
      <w:bookmarkEnd w:id="14"/>
      <w:r>
        <w:rPr>
          <w:rFonts w:hint="eastAsia" w:ascii="仿宋_GB2312" w:hAnsi="Times New Roman" w:eastAsia="仿宋_GB2312"/>
          <w:color w:val="000000"/>
          <w:sz w:val="32"/>
          <w:szCs w:val="32"/>
        </w:rPr>
        <w:t>（八）负责落实支持实体经济发展的政策措施。协调重大技术装备推广应用和主题园区建设。组织落实国民经济动员规划，协调和组织实施有关工作。统筹推动、衔接平衡服务业发展重大问题、落实发展改革领域服务业政策。推动服务业重大项目建设。统筹推进数字经济发展。</w:t>
      </w:r>
    </w:p>
    <w:p w14:paraId="366304AD">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（九）负责经开区民营经济的统筹规划、综合协调等服务工作。加强对民营经济发展专项资金的组织申报、使用和监督管理。负责组织民营经济开展对外合作、交流工作。</w:t>
      </w:r>
    </w:p>
    <w:p w14:paraId="6224DC49">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负责统筹推进循环经济、资源节约和综合利用工作，推动相关项目建设。承担节能和清洁生产的综合协调工作，依法开展重点用能单位管理。组织拟订经开区能源规划、改革方案和政策措施，推动新能源的开发与应用，负责能源的综合平衡，研究提出重大能源项目布局建议，促进能源战略合作。</w:t>
      </w:r>
    </w:p>
    <w:p w14:paraId="5F8DE3D0">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（十一）负责经开区双碳工作领导小组日常工作，研究编制区域碳达峰碳中和方案和相关政策，对碳达峰碳中和重点任务清单落实情况开展督查督办和评估考核。</w:t>
      </w:r>
    </w:p>
    <w:p w14:paraId="13F2BCB0">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（十二）负责制定经开区绩效考核方案、年度目标分解及考核实施，对接滨海新区对经开区绩效考核工作。</w:t>
      </w:r>
    </w:p>
    <w:p w14:paraId="13092E30">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（十三）负责商务部、天津市商务局对经开区综合发展水平评价及日常统计报表工作。</w:t>
      </w:r>
    </w:p>
    <w:p w14:paraId="7D4E1CF9">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（十四）负责规定权限内重要商品、服务价格和收费标准的制定、调整并组织实施，提出价格政策措施和改革意见。              </w:t>
      </w:r>
    </w:p>
    <w:p w14:paraId="19EDF12B">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（十五）配合上级开展经开区粮食流通行业管理、统计、应急工作，计划用粮和节约用粮的宣传、组织、推动工作。对接滨海新区发改委，支持经开区灾害救助所需的救灾物资供应保障工作。</w:t>
      </w:r>
    </w:p>
    <w:p w14:paraId="004130A1">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（十六）负责协调处理辖区内油气长输管道（不含城镇燃气管道和炼油、化工等企业厂区内管道）保护工作，指导、监督有关单位履行管道保护义务。配合上级部门查处危害管道安全的违法行为。</w:t>
      </w:r>
    </w:p>
    <w:p w14:paraId="4691CF62">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（十七）负责组织实施经开区统计工作，开展分析研究。对有关统计数据进行审核、监测、检查和评估，确保数据质量。查处统计违法违纪案件。</w:t>
      </w:r>
    </w:p>
    <w:p w14:paraId="0F126E9A">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（十八）负责本领域安全生产管理工作。</w:t>
      </w:r>
    </w:p>
    <w:p w14:paraId="61CD2835">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（十九）贯彻落实本部门全面从严治党主体责任，严格落实基层党建工作任务，发挥党组织战斗堡垒作用和党员先锋模范作用。</w:t>
      </w:r>
    </w:p>
    <w:p w14:paraId="69A8A780">
      <w:pPr>
        <w:keepNext w:val="0"/>
        <w:keepLines w:val="0"/>
        <w:pageBreakBefore w:val="0"/>
        <w:widowControl w:val="0"/>
        <w:kinsoku/>
        <w:wordWrap/>
        <w:overflowPunct/>
        <w:topLinePunct w:val="0"/>
        <w:autoSpaceDE/>
        <w:autoSpaceDN/>
        <w:bidi w:val="0"/>
        <w:adjustRightInd w:val="0"/>
        <w:snapToGrid/>
        <w:spacing w:line="600" w:lineRule="exact"/>
        <w:ind w:firstLine="633" w:firstLineChars="198"/>
        <w:textAlignment w:val="baseline"/>
        <w:rPr>
          <w:rFonts w:eastAsia="仿宋_GB2312"/>
          <w:color w:val="000000"/>
          <w:sz w:val="32"/>
          <w:szCs w:val="32"/>
        </w:rPr>
      </w:pPr>
      <w:r>
        <w:rPr>
          <w:rFonts w:hint="eastAsia" w:ascii="仿宋_GB2312" w:hAnsi="Times New Roman" w:eastAsia="仿宋_GB2312"/>
          <w:color w:val="000000"/>
          <w:sz w:val="32"/>
          <w:szCs w:val="32"/>
        </w:rPr>
        <w:t>（二十）完成党委、管委会交办的其他各项工作。</w:t>
      </w:r>
    </w:p>
    <w:p w14:paraId="7C759F2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二、机构设置</w:t>
      </w:r>
      <w:bookmarkEnd w:id="2"/>
      <w:r>
        <w:rPr>
          <w:rFonts w:hint="eastAsia" w:ascii="黑体" w:hAnsi="黑体" w:eastAsia="黑体" w:cs="黑体"/>
          <w:b w:val="0"/>
          <w:bCs/>
          <w:sz w:val="32"/>
          <w:szCs w:val="32"/>
        </w:rPr>
        <w:t>情况</w:t>
      </w:r>
    </w:p>
    <w:p w14:paraId="59B5185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本</w:t>
      </w:r>
      <w:r>
        <w:rPr>
          <w:rFonts w:ascii="仿宋_GB2312" w:hAnsi="Times New Roman" w:eastAsia="仿宋_GB2312"/>
          <w:sz w:val="32"/>
          <w:szCs w:val="32"/>
        </w:rPr>
        <w:t>部门内设</w:t>
      </w:r>
      <w:r>
        <w:rPr>
          <w:rFonts w:hint="eastAsia" w:ascii="仿宋_GB2312" w:hAnsi="Times New Roman" w:eastAsia="仿宋_GB2312"/>
          <w:sz w:val="32"/>
          <w:szCs w:val="32"/>
          <w:u w:val="none"/>
          <w:lang w:val="en-US" w:eastAsia="zh-CN"/>
        </w:rPr>
        <w:t>9</w:t>
      </w:r>
      <w:r>
        <w:rPr>
          <w:rFonts w:ascii="仿宋_GB2312" w:hAnsi="Times New Roman" w:eastAsia="仿宋_GB2312"/>
          <w:sz w:val="32"/>
          <w:szCs w:val="32"/>
        </w:rPr>
        <w:t>个职能处室</w:t>
      </w:r>
      <w:r>
        <w:rPr>
          <w:rFonts w:hint="eastAsia" w:ascii="仿宋_GB2312" w:hAnsi="Times New Roman" w:eastAsia="仿宋_GB2312"/>
          <w:sz w:val="32"/>
          <w:szCs w:val="32"/>
          <w:lang w:eastAsia="zh-CN"/>
        </w:rPr>
        <w:t>，</w:t>
      </w:r>
      <w:r>
        <w:rPr>
          <w:rFonts w:hint="eastAsia" w:ascii="仿宋_GB2312" w:hAnsi="仿宋_GB2312" w:eastAsia="仿宋_GB2312" w:cs="仿宋_GB2312"/>
          <w:sz w:val="32"/>
          <w:szCs w:val="32"/>
        </w:rPr>
        <w:t>分别是:综合业务科、经济运行科、指标核算科、投资科、产业发展规划科、区域协同发展科、双碳工作办公室、民营经济管理办公室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资产盘活科</w:t>
      </w:r>
      <w:r>
        <w:rPr>
          <w:rFonts w:hint="eastAsia" w:ascii="仿宋_GB2312" w:hAnsi="仿宋_GB2312" w:eastAsia="仿宋_GB2312" w:cs="仿宋_GB2312"/>
          <w:sz w:val="32"/>
          <w:szCs w:val="32"/>
        </w:rPr>
        <w:t>。</w:t>
      </w:r>
    </w:p>
    <w:p w14:paraId="59BF0460">
      <w:pPr>
        <w:keepNext w:val="0"/>
        <w:keepLines w:val="0"/>
        <w:pageBreakBefore w:val="0"/>
        <w:widowControl w:val="0"/>
        <w:kinsoku/>
        <w:wordWrap/>
        <w:overflowPunct/>
        <w:topLinePunct w:val="0"/>
        <w:autoSpaceDE/>
        <w:autoSpaceDN/>
        <w:bidi w:val="0"/>
        <w:adjustRightInd w:val="0"/>
        <w:snapToGrid/>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纳入</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年部门预算编制范围的预算单位为发改局本级。</w:t>
      </w:r>
    </w:p>
    <w:p w14:paraId="2AA4779D">
      <w:pPr>
        <w:keepNext w:val="0"/>
        <w:keepLines w:val="0"/>
        <w:pageBreakBefore w:val="0"/>
        <w:widowControl w:val="0"/>
        <w:kinsoku/>
        <w:wordWrap/>
        <w:overflowPunct/>
        <w:topLinePunct w:val="0"/>
        <w:autoSpaceDE/>
        <w:autoSpaceDN/>
        <w:bidi w:val="0"/>
        <w:adjustRightInd w:val="0"/>
        <w:snapToGrid/>
        <w:spacing w:line="600" w:lineRule="exact"/>
        <w:ind w:firstLine="600"/>
        <w:jc w:val="both"/>
        <w:textAlignment w:val="baseline"/>
        <w:rPr>
          <w:rFonts w:hint="eastAsia" w:ascii="仿宋_GB2312" w:hAnsi="Times New Roman" w:eastAsia="仿宋_GB2312"/>
          <w:sz w:val="32"/>
          <w:szCs w:val="32"/>
        </w:rPr>
      </w:pPr>
    </w:p>
    <w:p w14:paraId="2703B453">
      <w:pPr>
        <w:spacing w:line="600" w:lineRule="exact"/>
        <w:jc w:val="both"/>
        <w:rPr>
          <w:rFonts w:hint="eastAsia" w:eastAsia="黑体"/>
          <w:w w:val="95"/>
          <w:sz w:val="32"/>
          <w:szCs w:val="32"/>
        </w:rPr>
      </w:pPr>
    </w:p>
    <w:p w14:paraId="662FD1ED">
      <w:pPr>
        <w:spacing w:line="600" w:lineRule="exact"/>
        <w:jc w:val="both"/>
        <w:rPr>
          <w:rFonts w:hint="eastAsia" w:eastAsia="黑体"/>
          <w:w w:val="95"/>
          <w:sz w:val="32"/>
          <w:szCs w:val="32"/>
        </w:rPr>
      </w:pPr>
    </w:p>
    <w:p w14:paraId="5773CEB7">
      <w:pPr>
        <w:spacing w:line="600" w:lineRule="exact"/>
        <w:jc w:val="both"/>
        <w:rPr>
          <w:rFonts w:hint="eastAsia" w:eastAsia="黑体"/>
          <w:w w:val="95"/>
          <w:sz w:val="32"/>
          <w:szCs w:val="32"/>
        </w:rPr>
      </w:pPr>
    </w:p>
    <w:p w14:paraId="71AD4DB8">
      <w:pPr>
        <w:spacing w:line="600" w:lineRule="exact"/>
        <w:jc w:val="both"/>
        <w:rPr>
          <w:rFonts w:hint="eastAsia" w:eastAsia="黑体"/>
          <w:w w:val="95"/>
          <w:sz w:val="32"/>
          <w:szCs w:val="32"/>
        </w:rPr>
      </w:pPr>
    </w:p>
    <w:p w14:paraId="3175EEAE">
      <w:pPr>
        <w:spacing w:line="600" w:lineRule="exact"/>
        <w:jc w:val="both"/>
        <w:rPr>
          <w:rFonts w:hint="eastAsia" w:eastAsia="黑体"/>
          <w:w w:val="95"/>
          <w:sz w:val="32"/>
          <w:szCs w:val="32"/>
        </w:rPr>
      </w:pPr>
    </w:p>
    <w:p w14:paraId="5EDE7967">
      <w:pPr>
        <w:spacing w:line="600" w:lineRule="exact"/>
        <w:jc w:val="both"/>
        <w:rPr>
          <w:rFonts w:hint="eastAsia" w:eastAsia="黑体"/>
          <w:w w:val="95"/>
          <w:sz w:val="32"/>
          <w:szCs w:val="32"/>
        </w:rPr>
      </w:pPr>
    </w:p>
    <w:p w14:paraId="731583B0">
      <w:pPr>
        <w:spacing w:line="600" w:lineRule="exact"/>
        <w:jc w:val="both"/>
        <w:rPr>
          <w:rFonts w:hint="eastAsia" w:eastAsia="黑体"/>
          <w:w w:val="95"/>
          <w:sz w:val="32"/>
          <w:szCs w:val="32"/>
        </w:rPr>
      </w:pPr>
    </w:p>
    <w:p w14:paraId="3C400100">
      <w:pPr>
        <w:spacing w:line="600" w:lineRule="exact"/>
        <w:jc w:val="both"/>
        <w:rPr>
          <w:rFonts w:hint="eastAsia" w:eastAsia="黑体"/>
          <w:w w:val="95"/>
          <w:sz w:val="32"/>
          <w:szCs w:val="32"/>
        </w:rPr>
      </w:pPr>
    </w:p>
    <w:p w14:paraId="77A72876">
      <w:pPr>
        <w:spacing w:line="600" w:lineRule="exact"/>
        <w:jc w:val="both"/>
        <w:rPr>
          <w:rFonts w:hint="eastAsia" w:eastAsia="黑体"/>
          <w:w w:val="95"/>
          <w:sz w:val="32"/>
          <w:szCs w:val="32"/>
        </w:rPr>
      </w:pPr>
    </w:p>
    <w:p w14:paraId="2B0E2527">
      <w:pPr>
        <w:spacing w:line="600" w:lineRule="exact"/>
        <w:jc w:val="both"/>
        <w:rPr>
          <w:rFonts w:hint="eastAsia" w:eastAsia="黑体"/>
          <w:w w:val="95"/>
          <w:sz w:val="32"/>
          <w:szCs w:val="32"/>
        </w:rPr>
      </w:pPr>
    </w:p>
    <w:p w14:paraId="575F806B">
      <w:pPr>
        <w:spacing w:line="600" w:lineRule="exact"/>
        <w:jc w:val="both"/>
        <w:rPr>
          <w:rFonts w:hint="eastAsia" w:eastAsia="黑体"/>
          <w:w w:val="95"/>
          <w:sz w:val="32"/>
          <w:szCs w:val="32"/>
        </w:rPr>
      </w:pPr>
    </w:p>
    <w:p w14:paraId="38188CCB">
      <w:pPr>
        <w:pStyle w:val="2"/>
        <w:spacing w:line="600" w:lineRule="exact"/>
        <w:jc w:val="center"/>
        <w:rPr>
          <w:rFonts w:ascii="方正小标宋简体" w:hAnsi="方正小标宋简体" w:eastAsia="方正小标宋简体" w:cs="方正小标宋简体"/>
          <w:b w:val="0"/>
          <w:bCs/>
          <w:spacing w:val="0"/>
          <w:sz w:val="44"/>
          <w:szCs w:val="44"/>
        </w:rPr>
      </w:pPr>
      <w:bookmarkStart w:id="3" w:name="_Toc78784570"/>
      <w:r>
        <w:rPr>
          <w:rFonts w:ascii="方正小标宋简体" w:hAnsi="方正小标宋简体" w:eastAsia="方正小标宋简体" w:cs="方正小标宋简体"/>
          <w:b w:val="0"/>
          <w:bCs/>
          <w:spacing w:val="0"/>
          <w:sz w:val="44"/>
          <w:szCs w:val="44"/>
        </w:rPr>
        <w:t>第</w:t>
      </w:r>
      <w:r>
        <w:rPr>
          <w:rFonts w:hint="eastAsia" w:ascii="方正小标宋简体" w:hAnsi="方正小标宋简体" w:eastAsia="方正小标宋简体" w:cs="方正小标宋简体"/>
          <w:b w:val="0"/>
          <w:bCs/>
          <w:spacing w:val="0"/>
          <w:sz w:val="44"/>
          <w:szCs w:val="44"/>
        </w:rPr>
        <w:t>二</w:t>
      </w:r>
      <w:r>
        <w:rPr>
          <w:rFonts w:ascii="方正小标宋简体" w:hAnsi="方正小标宋简体" w:eastAsia="方正小标宋简体" w:cs="方正小标宋简体"/>
          <w:b w:val="0"/>
          <w:bCs/>
          <w:spacing w:val="0"/>
          <w:sz w:val="44"/>
          <w:szCs w:val="44"/>
        </w:rPr>
        <w:t xml:space="preserve">部分  </w:t>
      </w:r>
      <w:r>
        <w:rPr>
          <w:rFonts w:hint="eastAsia" w:ascii="方正小标宋简体" w:hAnsi="方正小标宋简体" w:eastAsia="方正小标宋简体" w:cs="方正小标宋简体"/>
          <w:b w:val="0"/>
          <w:bCs/>
          <w:spacing w:val="0"/>
          <w:sz w:val="44"/>
          <w:szCs w:val="44"/>
        </w:rPr>
        <w:t>2025</w:t>
      </w:r>
      <w:r>
        <w:rPr>
          <w:rFonts w:ascii="方正小标宋简体" w:hAnsi="方正小标宋简体" w:eastAsia="方正小标宋简体" w:cs="方正小标宋简体"/>
          <w:b w:val="0"/>
          <w:bCs/>
          <w:spacing w:val="0"/>
          <w:sz w:val="44"/>
          <w:szCs w:val="44"/>
        </w:rPr>
        <w:t>年部门</w:t>
      </w:r>
      <w:r>
        <w:rPr>
          <w:rFonts w:hint="eastAsia" w:ascii="方正小标宋简体" w:hAnsi="方正小标宋简体" w:eastAsia="方正小标宋简体" w:cs="方正小标宋简体"/>
          <w:b w:val="0"/>
          <w:bCs/>
          <w:spacing w:val="0"/>
          <w:sz w:val="44"/>
          <w:szCs w:val="44"/>
        </w:rPr>
        <w:t>预算情况</w:t>
      </w:r>
      <w:r>
        <w:rPr>
          <w:rFonts w:ascii="方正小标宋简体" w:hAnsi="方正小标宋简体" w:eastAsia="方正小标宋简体" w:cs="方正小标宋简体"/>
          <w:b w:val="0"/>
          <w:bCs/>
          <w:spacing w:val="0"/>
          <w:sz w:val="44"/>
          <w:szCs w:val="44"/>
        </w:rPr>
        <w:t>说明</w:t>
      </w:r>
      <w:bookmarkEnd w:id="3"/>
    </w:p>
    <w:p w14:paraId="1903F0C7">
      <w:pPr>
        <w:spacing w:line="600" w:lineRule="exact"/>
        <w:ind w:firstLine="600" w:firstLineChars="200"/>
        <w:rPr>
          <w:rFonts w:hint="eastAsia" w:ascii="黑体" w:eastAsia="黑体"/>
          <w:sz w:val="30"/>
          <w:szCs w:val="30"/>
        </w:rPr>
      </w:pPr>
    </w:p>
    <w:p w14:paraId="6FE3023A">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4" w:name="_Toc78784571"/>
      <w:r>
        <w:rPr>
          <w:rFonts w:hint="eastAsia" w:ascii="黑体" w:hAnsi="黑体" w:eastAsia="黑体" w:cs="黑体"/>
          <w:b w:val="0"/>
          <w:bCs/>
          <w:sz w:val="32"/>
          <w:szCs w:val="32"/>
        </w:rPr>
        <w:t>一、</w:t>
      </w:r>
      <w:bookmarkEnd w:id="4"/>
      <w:r>
        <w:rPr>
          <w:rFonts w:hint="eastAsia" w:ascii="黑体" w:hAnsi="黑体" w:eastAsia="黑体" w:cs="黑体"/>
          <w:b w:val="0"/>
          <w:bCs/>
          <w:sz w:val="32"/>
          <w:szCs w:val="32"/>
        </w:rPr>
        <w:t>关于收支预算总表的说明</w:t>
      </w:r>
    </w:p>
    <w:p w14:paraId="6F9AAF63">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eastAsia="仿宋_GB2312"/>
          <w:sz w:val="32"/>
          <w:szCs w:val="32"/>
        </w:rPr>
      </w:pPr>
      <w:r>
        <w:rPr>
          <w:rFonts w:hint="eastAsia" w:ascii="仿宋_GB2312" w:hAnsi="Times New Roman" w:eastAsia="仿宋_GB2312"/>
          <w:sz w:val="32"/>
          <w:szCs w:val="32"/>
        </w:rPr>
        <w:t>按照综合预算的原则，本部门所有收入和支出均纳入部门预算管理。收入包括：一般公共预算拨款收入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rPr>
        <w:t>202</w:t>
      </w:r>
      <w:r>
        <w:rPr>
          <w:rFonts w:hint="eastAsia" w:ascii="仿宋_GB2312" w:hAnsi="Times New Roman" w:eastAsia="仿宋_GB2312"/>
          <w:sz w:val="32"/>
          <w:szCs w:val="32"/>
          <w:u w:val="single"/>
          <w:lang w:val="en-US" w:eastAsia="zh-CN"/>
        </w:rPr>
        <w:t>,</w:t>
      </w:r>
      <w:r>
        <w:rPr>
          <w:rFonts w:hint="eastAsia" w:ascii="仿宋_GB2312" w:hAnsi="Times New Roman" w:eastAsia="仿宋_GB2312"/>
          <w:sz w:val="32"/>
          <w:szCs w:val="32"/>
          <w:u w:val="single"/>
        </w:rPr>
        <w:t>985.26</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政府性基金预算拨款收入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国有资本经营预算拨款收入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、财政专户管理资金收入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、事业收入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0 </w:t>
      </w:r>
      <w:r>
        <w:rPr>
          <w:rFonts w:ascii="仿宋_GB2312" w:hAnsi="Times New Roman" w:eastAsia="仿宋_GB2312"/>
          <w:sz w:val="32"/>
          <w:szCs w:val="32"/>
        </w:rPr>
        <w:t>万元、</w:t>
      </w:r>
      <w:r>
        <w:rPr>
          <w:rFonts w:hint="eastAsia" w:ascii="仿宋_GB2312" w:hAnsi="Times New Roman" w:eastAsia="仿宋_GB2312"/>
          <w:sz w:val="32"/>
          <w:szCs w:val="32"/>
        </w:rPr>
        <w:t>事业单位经营收入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上级补助收入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附属单位上缴收入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、其他收入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w:t>
      </w:r>
      <w:r>
        <w:rPr>
          <w:rFonts w:ascii="仿宋_GB2312" w:hAnsi="Times New Roman" w:eastAsia="仿宋_GB2312"/>
          <w:sz w:val="32"/>
          <w:szCs w:val="32"/>
        </w:rPr>
        <w:t>上年结转结余</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；支出包括：一般公共服务支出</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rPr>
        <w:t>1</w:t>
      </w:r>
      <w:r>
        <w:rPr>
          <w:rFonts w:hint="eastAsia" w:ascii="仿宋_GB2312" w:hAnsi="Times New Roman" w:eastAsia="仿宋_GB2312"/>
          <w:sz w:val="32"/>
          <w:szCs w:val="32"/>
          <w:u w:val="single"/>
          <w:lang w:val="en-US" w:eastAsia="zh-CN"/>
        </w:rPr>
        <w:t>,</w:t>
      </w:r>
      <w:r>
        <w:rPr>
          <w:rFonts w:hint="eastAsia" w:ascii="仿宋_GB2312" w:hAnsi="Times New Roman" w:eastAsia="仿宋_GB2312"/>
          <w:sz w:val="32"/>
          <w:szCs w:val="32"/>
          <w:u w:val="single"/>
        </w:rPr>
        <w:t>998.71</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科学技术支出</w:t>
      </w:r>
      <w:r>
        <w:rPr>
          <w:rFonts w:hint="eastAsia" w:ascii="仿宋_GB2312" w:hAnsi="Times New Roman" w:eastAsia="仿宋_GB2312"/>
          <w:sz w:val="32"/>
          <w:szCs w:val="32"/>
          <w:u w:val="single"/>
          <w:lang w:val="en-US" w:eastAsia="zh-CN"/>
        </w:rPr>
        <w:t xml:space="preserve">  1,000  </w:t>
      </w:r>
      <w:r>
        <w:rPr>
          <w:rFonts w:hint="eastAsia" w:ascii="仿宋_GB2312" w:hAnsi="Times New Roman" w:eastAsia="仿宋_GB2312"/>
          <w:sz w:val="32"/>
          <w:szCs w:val="32"/>
          <w:u w:val="none"/>
          <w:lang w:val="en-US" w:eastAsia="zh-CN"/>
        </w:rPr>
        <w:t>万元、节能环保支出</w:t>
      </w:r>
      <w:r>
        <w:rPr>
          <w:rFonts w:hint="eastAsia" w:ascii="仿宋_GB2312" w:hAnsi="Times New Roman" w:eastAsia="仿宋_GB2312"/>
          <w:sz w:val="32"/>
          <w:szCs w:val="32"/>
          <w:u w:val="single"/>
          <w:lang w:val="en-US" w:eastAsia="zh-CN"/>
        </w:rPr>
        <w:t xml:space="preserve"> 1,903.1 </w:t>
      </w:r>
      <w:r>
        <w:rPr>
          <w:rFonts w:hint="eastAsia" w:ascii="仿宋_GB2312" w:hAnsi="Times New Roman" w:eastAsia="仿宋_GB2312"/>
          <w:sz w:val="32"/>
          <w:szCs w:val="32"/>
          <w:u w:val="none"/>
          <w:lang w:val="en-US" w:eastAsia="zh-CN"/>
        </w:rPr>
        <w:t>万元、商业服务业等支出</w:t>
      </w:r>
      <w:r>
        <w:rPr>
          <w:rFonts w:hint="eastAsia" w:ascii="仿宋_GB2312" w:hAnsi="Times New Roman" w:eastAsia="仿宋_GB2312"/>
          <w:sz w:val="32"/>
          <w:szCs w:val="32"/>
          <w:u w:val="single"/>
          <w:lang w:val="en-US" w:eastAsia="zh-CN"/>
        </w:rPr>
        <w:t xml:space="preserve"> 197,000 </w:t>
      </w:r>
      <w:r>
        <w:rPr>
          <w:rFonts w:hint="eastAsia" w:ascii="仿宋_GB2312" w:hAnsi="Times New Roman" w:eastAsia="仿宋_GB2312"/>
          <w:sz w:val="32"/>
          <w:szCs w:val="32"/>
          <w:u w:val="none"/>
          <w:lang w:val="en-US" w:eastAsia="zh-CN"/>
        </w:rPr>
        <w:t>万元、援助其他地区支出</w:t>
      </w:r>
      <w:r>
        <w:rPr>
          <w:rFonts w:hint="eastAsia" w:ascii="仿宋_GB2312" w:hAnsi="Times New Roman" w:eastAsia="仿宋_GB2312"/>
          <w:sz w:val="32"/>
          <w:szCs w:val="32"/>
          <w:u w:val="single"/>
          <w:lang w:val="en-US" w:eastAsia="zh-CN"/>
        </w:rPr>
        <w:t xml:space="preserve"> 1,025 </w:t>
      </w:r>
      <w:r>
        <w:rPr>
          <w:rFonts w:hint="eastAsia" w:ascii="仿宋_GB2312" w:hAnsi="Times New Roman" w:eastAsia="仿宋_GB2312"/>
          <w:sz w:val="32"/>
          <w:szCs w:val="32"/>
          <w:u w:val="none"/>
          <w:lang w:val="en-US" w:eastAsia="zh-CN"/>
        </w:rPr>
        <w:t>万元、灾害防治及应急管理支出</w:t>
      </w:r>
      <w:r>
        <w:rPr>
          <w:rFonts w:hint="eastAsia" w:ascii="仿宋_GB2312" w:hAnsi="Times New Roman" w:eastAsia="仿宋_GB2312"/>
          <w:sz w:val="32"/>
          <w:szCs w:val="32"/>
          <w:u w:val="single"/>
          <w:lang w:val="en-US" w:eastAsia="zh-CN"/>
        </w:rPr>
        <w:t xml:space="preserve">  58.45 </w:t>
      </w:r>
      <w:r>
        <w:rPr>
          <w:rFonts w:hint="eastAsia" w:ascii="仿宋_GB2312" w:hAnsi="Times New Roman" w:eastAsia="仿宋_GB2312"/>
          <w:sz w:val="32"/>
          <w:szCs w:val="32"/>
          <w:u w:val="none"/>
          <w:lang w:val="en-US" w:eastAsia="zh-CN"/>
        </w:rPr>
        <w:t>万元</w:t>
      </w:r>
      <w:r>
        <w:rPr>
          <w:rFonts w:hint="eastAsia" w:ascii="仿宋_GB2312" w:hAnsi="Times New Roman" w:eastAsia="仿宋_GB2312"/>
          <w:sz w:val="32"/>
          <w:szCs w:val="32"/>
        </w:rPr>
        <w:t>。本部门2025年收支总预算</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202,985.26</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w:t>
      </w:r>
    </w:p>
    <w:p w14:paraId="2136895B">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5" w:name="_Toc78784572"/>
      <w:r>
        <w:rPr>
          <w:rFonts w:hint="eastAsia" w:ascii="黑体" w:hAnsi="黑体" w:eastAsia="黑体" w:cs="黑体"/>
          <w:b w:val="0"/>
          <w:bCs/>
          <w:sz w:val="32"/>
          <w:szCs w:val="32"/>
        </w:rPr>
        <w:t>二、</w:t>
      </w:r>
      <w:bookmarkEnd w:id="5"/>
      <w:r>
        <w:rPr>
          <w:rFonts w:hint="eastAsia" w:ascii="黑体" w:hAnsi="黑体" w:eastAsia="黑体" w:cs="黑体"/>
          <w:b w:val="0"/>
          <w:bCs/>
          <w:sz w:val="32"/>
          <w:szCs w:val="32"/>
        </w:rPr>
        <w:t>关于收入预算总表的说明</w:t>
      </w:r>
    </w:p>
    <w:p w14:paraId="6DB08889">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ascii="仿宋_GB2312" w:hAnsi="Times New Roman" w:eastAsia="仿宋_GB2312"/>
          <w:sz w:val="32"/>
          <w:szCs w:val="32"/>
        </w:rPr>
      </w:pPr>
      <w:r>
        <w:rPr>
          <w:rFonts w:hint="eastAsia" w:ascii="仿宋_GB2312" w:hAnsi="Times New Roman" w:eastAsia="仿宋_GB2312"/>
          <w:sz w:val="32"/>
          <w:szCs w:val="32"/>
        </w:rPr>
        <w:t>本部门2025</w:t>
      </w:r>
      <w:r>
        <w:rPr>
          <w:rFonts w:ascii="仿宋_GB2312" w:hAnsi="Times New Roman" w:eastAsia="仿宋_GB2312"/>
          <w:sz w:val="32"/>
          <w:szCs w:val="32"/>
        </w:rPr>
        <w:t>年</w:t>
      </w:r>
      <w:r>
        <w:rPr>
          <w:rFonts w:hint="eastAsia" w:ascii="仿宋_GB2312" w:hAnsi="Times New Roman" w:eastAsia="仿宋_GB2312"/>
          <w:sz w:val="32"/>
          <w:szCs w:val="32"/>
        </w:rPr>
        <w:t>部门预算</w:t>
      </w:r>
      <w:r>
        <w:rPr>
          <w:rFonts w:ascii="仿宋_GB2312" w:hAnsi="Times New Roman" w:eastAsia="仿宋_GB2312"/>
          <w:sz w:val="32"/>
          <w:szCs w:val="32"/>
        </w:rPr>
        <w:t>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202,985.26</w:t>
      </w:r>
      <w:r>
        <w:rPr>
          <w:rFonts w:ascii="仿宋_GB2312" w:hAnsi="Times New Roman" w:eastAsia="仿宋_GB2312"/>
          <w:sz w:val="32"/>
          <w:szCs w:val="32"/>
          <w:u w:val="single"/>
        </w:rPr>
        <w:t xml:space="preserve"> </w:t>
      </w:r>
      <w:r>
        <w:rPr>
          <w:rFonts w:ascii="仿宋_GB2312" w:hAnsi="Times New Roman" w:eastAsia="仿宋_GB2312"/>
          <w:sz w:val="32"/>
          <w:szCs w:val="32"/>
        </w:rPr>
        <w:t>万元，与</w:t>
      </w:r>
      <w:r>
        <w:rPr>
          <w:rFonts w:hint="eastAsia" w:ascii="仿宋_GB2312" w:hAnsi="Times New Roman" w:eastAsia="仿宋_GB2312"/>
          <w:sz w:val="32"/>
          <w:szCs w:val="32"/>
        </w:rPr>
        <w:t>2024</w:t>
      </w:r>
      <w:r>
        <w:rPr>
          <w:rFonts w:ascii="仿宋_GB2312" w:hAnsi="Times New Roman" w:eastAsia="仿宋_GB2312"/>
          <w:sz w:val="32"/>
          <w:szCs w:val="32"/>
        </w:rPr>
        <w:t>年</w:t>
      </w:r>
      <w:r>
        <w:rPr>
          <w:rFonts w:hint="eastAsia" w:ascii="仿宋_GB2312" w:hAnsi="Times New Roman" w:eastAsia="仿宋_GB2312"/>
          <w:sz w:val="32"/>
          <w:szCs w:val="32"/>
        </w:rPr>
        <w:t>预</w:t>
      </w:r>
      <w:r>
        <w:rPr>
          <w:rFonts w:ascii="仿宋_GB2312" w:hAnsi="Times New Roman" w:eastAsia="仿宋_GB2312"/>
          <w:sz w:val="32"/>
          <w:szCs w:val="32"/>
        </w:rPr>
        <w:t>算相比增加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196,324.686</w:t>
      </w:r>
      <w:r>
        <w:rPr>
          <w:rFonts w:hint="eastAsia"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主要原因是</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政策兑现专项收入预算增加</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w:t>
      </w:r>
      <w:r>
        <w:rPr>
          <w:rFonts w:ascii="仿宋_GB2312" w:hAnsi="Times New Roman" w:eastAsia="仿宋_GB2312"/>
          <w:sz w:val="32"/>
          <w:szCs w:val="32"/>
        </w:rPr>
        <w:t>其中：</w:t>
      </w:r>
      <w:r>
        <w:rPr>
          <w:rFonts w:hint="eastAsia" w:ascii="仿宋_GB2312" w:hAnsi="Times New Roman" w:eastAsia="仿宋_GB2312"/>
          <w:sz w:val="32"/>
          <w:szCs w:val="32"/>
        </w:rPr>
        <w:t>上年结转结余</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w:t>
      </w:r>
      <w:r>
        <w:rPr>
          <w:rFonts w:hint="eastAsia" w:ascii="仿宋_GB2312" w:hAnsi="Times New Roman" w:eastAsia="仿宋_GB2312"/>
          <w:sz w:val="32"/>
          <w:szCs w:val="32"/>
        </w:rPr>
        <w:t>，占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0 </w:t>
      </w:r>
      <w:r>
        <w:rPr>
          <w:rFonts w:ascii="仿宋_GB2312" w:hAnsi="Times New Roman" w:eastAsia="仿宋_GB2312"/>
          <w:sz w:val="32"/>
          <w:szCs w:val="32"/>
          <w:u w:val="single"/>
        </w:rPr>
        <w:t xml:space="preserve"> </w:t>
      </w:r>
      <w:r>
        <w:rPr>
          <w:rFonts w:ascii="仿宋_GB2312" w:hAnsi="Times New Roman" w:eastAsia="仿宋_GB2312"/>
          <w:sz w:val="32"/>
          <w:szCs w:val="32"/>
        </w:rPr>
        <w:t>%；一般公共预算</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202,985.26</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100 </w:t>
      </w:r>
      <w:r>
        <w:rPr>
          <w:rFonts w:ascii="仿宋_GB2312" w:hAnsi="Times New Roman" w:eastAsia="仿宋_GB2312"/>
          <w:sz w:val="32"/>
          <w:szCs w:val="32"/>
          <w:u w:val="single"/>
        </w:rPr>
        <w:t xml:space="preserve"> </w:t>
      </w:r>
      <w:r>
        <w:rPr>
          <w:rFonts w:ascii="仿宋_GB2312" w:hAnsi="Times New Roman" w:eastAsia="仿宋_GB2312"/>
          <w:sz w:val="32"/>
          <w:szCs w:val="32"/>
        </w:rPr>
        <w:t>%；政府性基金预算</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0 </w:t>
      </w:r>
      <w:r>
        <w:rPr>
          <w:rFonts w:ascii="仿宋_GB2312" w:hAnsi="Times New Roman" w:eastAsia="仿宋_GB2312"/>
          <w:sz w:val="32"/>
          <w:szCs w:val="32"/>
          <w:u w:val="single"/>
        </w:rPr>
        <w:t xml:space="preserve"> </w:t>
      </w:r>
      <w:r>
        <w:rPr>
          <w:rFonts w:ascii="仿宋_GB2312" w:hAnsi="Times New Roman" w:eastAsia="仿宋_GB2312"/>
          <w:sz w:val="32"/>
          <w:szCs w:val="32"/>
        </w:rPr>
        <w:t>%；国有资本经营预算</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w:t>
      </w:r>
      <w:r>
        <w:rPr>
          <w:rFonts w:hint="eastAsia" w:ascii="仿宋_GB2312" w:hAnsi="Times New Roman" w:eastAsia="仿宋_GB2312"/>
          <w:sz w:val="32"/>
          <w:szCs w:val="32"/>
        </w:rPr>
        <w:t>财政专户管理资金</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%；事业收入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w:t>
      </w:r>
      <w:r>
        <w:rPr>
          <w:rFonts w:hint="eastAsia" w:ascii="仿宋_GB2312" w:hAnsi="Times New Roman" w:eastAsia="仿宋_GB2312"/>
          <w:sz w:val="32"/>
          <w:szCs w:val="32"/>
        </w:rPr>
        <w:t>事业单位</w:t>
      </w:r>
      <w:r>
        <w:rPr>
          <w:rFonts w:ascii="仿宋_GB2312" w:hAnsi="Times New Roman" w:eastAsia="仿宋_GB2312"/>
          <w:sz w:val="32"/>
          <w:szCs w:val="32"/>
        </w:rPr>
        <w:t>经营收入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%；上级补助收入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%；附属单位上缴收入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%；其他收入</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万元，占</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0</w:t>
      </w:r>
      <w:r>
        <w:rPr>
          <w:rFonts w:ascii="仿宋_GB2312" w:hAnsi="Times New Roman" w:eastAsia="仿宋_GB2312"/>
          <w:sz w:val="32"/>
          <w:szCs w:val="32"/>
          <w:u w:val="single"/>
        </w:rPr>
        <w:t xml:space="preserve"> </w:t>
      </w:r>
      <w:r>
        <w:rPr>
          <w:rFonts w:ascii="仿宋_GB2312" w:hAnsi="Times New Roman" w:eastAsia="仿宋_GB2312"/>
          <w:sz w:val="32"/>
          <w:szCs w:val="32"/>
        </w:rPr>
        <w:t>%</w:t>
      </w:r>
      <w:r>
        <w:rPr>
          <w:rFonts w:hint="eastAsia" w:ascii="仿宋_GB2312" w:hAnsi="Times New Roman" w:eastAsia="仿宋_GB2312"/>
          <w:sz w:val="32"/>
          <w:szCs w:val="32"/>
        </w:rPr>
        <w:t>。</w:t>
      </w:r>
    </w:p>
    <w:p w14:paraId="14BBAA31">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6" w:name="_Toc78784573"/>
      <w:r>
        <w:rPr>
          <w:rFonts w:hint="eastAsia" w:ascii="黑体" w:hAnsi="黑体" w:eastAsia="黑体" w:cs="黑体"/>
          <w:b w:val="0"/>
          <w:bCs/>
          <w:sz w:val="32"/>
          <w:szCs w:val="32"/>
        </w:rPr>
        <w:t>三、</w:t>
      </w:r>
      <w:bookmarkEnd w:id="6"/>
      <w:r>
        <w:rPr>
          <w:rFonts w:hint="eastAsia" w:ascii="黑体" w:hAnsi="黑体" w:eastAsia="黑体" w:cs="黑体"/>
          <w:b w:val="0"/>
          <w:bCs/>
          <w:sz w:val="32"/>
          <w:szCs w:val="32"/>
        </w:rPr>
        <w:t>关于支出预算总表的说明</w:t>
      </w:r>
    </w:p>
    <w:p w14:paraId="6E7145BD">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本部门2025年支出预算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202,985.26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196,324.686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政策兑现专项支出预算增加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1341.71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0.66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201,643.55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99.34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%；事业单位经营支出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3BD0A3F">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7" w:name="_Toc78784574"/>
      <w:r>
        <w:rPr>
          <w:rFonts w:hint="eastAsia" w:ascii="黑体" w:hAnsi="黑体" w:eastAsia="黑体" w:cs="黑体"/>
          <w:b w:val="0"/>
          <w:bCs/>
          <w:sz w:val="32"/>
          <w:szCs w:val="32"/>
        </w:rPr>
        <w:t>四、</w:t>
      </w:r>
      <w:bookmarkEnd w:id="7"/>
      <w:r>
        <w:rPr>
          <w:rFonts w:hint="eastAsia" w:ascii="黑体" w:hAnsi="黑体" w:eastAsia="黑体" w:cs="黑体"/>
          <w:b w:val="0"/>
          <w:bCs/>
          <w:sz w:val="32"/>
          <w:szCs w:val="32"/>
        </w:rPr>
        <w:t>关于财政拨款收支预算总表的说明</w:t>
      </w:r>
    </w:p>
    <w:p w14:paraId="4B4852A3">
      <w:pPr>
        <w:keepNext w:val="0"/>
        <w:keepLines w:val="0"/>
        <w:pageBreakBefore w:val="0"/>
        <w:widowControl w:val="0"/>
        <w:overflowPunct/>
        <w:topLinePunct w:val="0"/>
        <w:autoSpaceDE/>
        <w:autoSpaceDN/>
        <w:bidi w:val="0"/>
        <w:adjustRightInd w:val="0"/>
        <w:snapToGrid/>
        <w:spacing w:line="600" w:lineRule="exact"/>
        <w:ind w:firstLine="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本部门2025年财政拨款收入预算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202,985.26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196,324.686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政策兑现专项收支预算增加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。收入包括：一般公共预算拨款收入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202,985.26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万元、政府性基金预算拨款收入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万元、国有资本经营预算拨款收入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万元、上年财政结转结余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万元。2025年财政拨款支出预算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202,985.26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196,324.686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政策兑现专项支出预算增加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。支出包括：一般公共服务支出</w:t>
      </w:r>
      <w:r>
        <w:rPr>
          <w:rFonts w:hint="eastAsia" w:ascii="仿宋_GB2312" w:hAnsi="仿宋_GB2312" w:eastAsia="仿宋_GB2312" w:cs="仿宋_GB2312"/>
          <w:sz w:val="32"/>
          <w:szCs w:val="32"/>
          <w:u w:val="single"/>
        </w:rPr>
        <w:t xml:space="preserve"> 1</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998.71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科学技术支出</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u w:val="none"/>
          <w:lang w:val="en-US" w:eastAsia="zh-CN"/>
        </w:rPr>
        <w:t>万元、节能环保支出</w:t>
      </w:r>
      <w:r>
        <w:rPr>
          <w:rFonts w:hint="eastAsia" w:ascii="仿宋_GB2312" w:hAnsi="仿宋_GB2312" w:eastAsia="仿宋_GB2312" w:cs="仿宋_GB2312"/>
          <w:sz w:val="32"/>
          <w:szCs w:val="32"/>
          <w:u w:val="single"/>
          <w:lang w:val="en-US" w:eastAsia="zh-CN"/>
        </w:rPr>
        <w:t xml:space="preserve"> 1,903.1 </w:t>
      </w:r>
      <w:r>
        <w:rPr>
          <w:rFonts w:hint="eastAsia" w:ascii="仿宋_GB2312" w:hAnsi="仿宋_GB2312" w:eastAsia="仿宋_GB2312" w:cs="仿宋_GB2312"/>
          <w:sz w:val="32"/>
          <w:szCs w:val="32"/>
          <w:u w:val="none"/>
          <w:lang w:val="en-US" w:eastAsia="zh-CN"/>
        </w:rPr>
        <w:t>万元、商业服务业等支出</w:t>
      </w:r>
      <w:r>
        <w:rPr>
          <w:rFonts w:hint="eastAsia" w:ascii="仿宋_GB2312" w:hAnsi="仿宋_GB2312" w:eastAsia="仿宋_GB2312" w:cs="仿宋_GB2312"/>
          <w:sz w:val="32"/>
          <w:szCs w:val="32"/>
          <w:u w:val="single"/>
          <w:lang w:val="en-US" w:eastAsia="zh-CN"/>
        </w:rPr>
        <w:t xml:space="preserve"> 197,000 </w:t>
      </w:r>
      <w:r>
        <w:rPr>
          <w:rFonts w:hint="eastAsia" w:ascii="仿宋_GB2312" w:hAnsi="仿宋_GB2312" w:eastAsia="仿宋_GB2312" w:cs="仿宋_GB2312"/>
          <w:sz w:val="32"/>
          <w:szCs w:val="32"/>
          <w:u w:val="none"/>
          <w:lang w:val="en-US" w:eastAsia="zh-CN"/>
        </w:rPr>
        <w:t>万元、援助其他地区支出</w:t>
      </w:r>
      <w:r>
        <w:rPr>
          <w:rFonts w:hint="eastAsia" w:ascii="仿宋_GB2312" w:hAnsi="仿宋_GB2312" w:eastAsia="仿宋_GB2312" w:cs="仿宋_GB2312"/>
          <w:sz w:val="32"/>
          <w:szCs w:val="32"/>
          <w:u w:val="single"/>
          <w:lang w:val="en-US" w:eastAsia="zh-CN"/>
        </w:rPr>
        <w:t xml:space="preserve"> 1,025 </w:t>
      </w:r>
      <w:r>
        <w:rPr>
          <w:rFonts w:hint="eastAsia" w:ascii="仿宋_GB2312" w:hAnsi="仿宋_GB2312" w:eastAsia="仿宋_GB2312" w:cs="仿宋_GB2312"/>
          <w:sz w:val="32"/>
          <w:szCs w:val="32"/>
          <w:u w:val="none"/>
          <w:lang w:val="en-US" w:eastAsia="zh-CN"/>
        </w:rPr>
        <w:t>万元、灾害防治及应急管理支出</w:t>
      </w:r>
      <w:r>
        <w:rPr>
          <w:rFonts w:hint="eastAsia" w:ascii="仿宋_GB2312" w:hAnsi="仿宋_GB2312" w:eastAsia="仿宋_GB2312" w:cs="仿宋_GB2312"/>
          <w:sz w:val="32"/>
          <w:szCs w:val="32"/>
          <w:u w:val="single"/>
          <w:lang w:val="en-US" w:eastAsia="zh-CN"/>
        </w:rPr>
        <w:t xml:space="preserve">  58.45 </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rPr>
        <w:t>。</w:t>
      </w:r>
    </w:p>
    <w:p w14:paraId="12B19362">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8" w:name="_Toc78784575"/>
      <w:r>
        <w:rPr>
          <w:rFonts w:hint="eastAsia" w:ascii="黑体" w:hAnsi="黑体" w:eastAsia="黑体" w:cs="黑体"/>
          <w:b w:val="0"/>
          <w:bCs/>
          <w:sz w:val="32"/>
          <w:szCs w:val="32"/>
        </w:rPr>
        <w:t>五、</w:t>
      </w:r>
      <w:bookmarkEnd w:id="8"/>
      <w:r>
        <w:rPr>
          <w:rFonts w:hint="eastAsia" w:ascii="黑体" w:hAnsi="黑体" w:eastAsia="黑体" w:cs="黑体"/>
          <w:b w:val="0"/>
          <w:bCs/>
          <w:sz w:val="32"/>
          <w:szCs w:val="32"/>
        </w:rPr>
        <w:t>关于财政拨款一般公共预算支出预算表的说明</w:t>
      </w:r>
    </w:p>
    <w:p w14:paraId="52FDDCE5">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楷体" w:hAnsi="楷体" w:eastAsia="楷体" w:cs="仿宋_GB2312"/>
          <w:b/>
          <w:sz w:val="32"/>
          <w:szCs w:val="32"/>
        </w:rPr>
      </w:pPr>
      <w:r>
        <w:rPr>
          <w:rFonts w:hint="eastAsia" w:ascii="楷体_GB2312" w:eastAsia="楷体_GB2312"/>
          <w:sz w:val="32"/>
          <w:szCs w:val="32"/>
        </w:rPr>
        <w:t>（一）总体情况</w:t>
      </w:r>
    </w:p>
    <w:p w14:paraId="4CEB045E">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本部门2025年一般公共预算支出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202,985.26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196,324.686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政策兑现专项支出预算增加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2EE01AC">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ascii="楷体_GB2312" w:eastAsia="楷体_GB2312"/>
          <w:sz w:val="32"/>
          <w:szCs w:val="32"/>
        </w:rPr>
      </w:pPr>
      <w:r>
        <w:rPr>
          <w:rFonts w:hint="eastAsia" w:ascii="楷体_GB2312" w:eastAsia="楷体_GB2312"/>
          <w:sz w:val="32"/>
          <w:szCs w:val="32"/>
        </w:rPr>
        <w:t>（二）</w:t>
      </w:r>
      <w:r>
        <w:rPr>
          <w:rFonts w:ascii="楷体_GB2312" w:eastAsia="楷体_GB2312"/>
          <w:sz w:val="32"/>
          <w:szCs w:val="32"/>
        </w:rPr>
        <w:t>具体情况</w:t>
      </w:r>
    </w:p>
    <w:p w14:paraId="1F7466B9">
      <w:pPr>
        <w:keepNext w:val="0"/>
        <w:keepLines w:val="0"/>
        <w:pageBreakBefore w:val="0"/>
        <w:widowControl w:val="0"/>
        <w:overflowPunct/>
        <w:topLinePunct w:val="0"/>
        <w:autoSpaceDE/>
        <w:autoSpaceDN/>
        <w:bidi w:val="0"/>
        <w:adjustRightInd w:val="0"/>
        <w:snapToGrid/>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1.一般公共服务支出</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,998.71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338.136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u w:val="single"/>
        </w:rPr>
        <w:t xml:space="preserve"> 专项支出预算增加  </w:t>
      </w:r>
      <w:r>
        <w:rPr>
          <w:rFonts w:hint="eastAsia" w:ascii="仿宋_GB2312" w:hAnsi="仿宋_GB2312" w:eastAsia="仿宋_GB2312" w:cs="仿宋_GB2312"/>
          <w:sz w:val="32"/>
          <w:szCs w:val="32"/>
        </w:rPr>
        <w:t>，其中：</w:t>
      </w:r>
    </w:p>
    <w:p w14:paraId="05824DF3">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u w:val="single"/>
          <w:lang w:val="en-US" w:eastAsia="zh-CN"/>
        </w:rPr>
        <w:t xml:space="preserve"> 447  </w:t>
      </w:r>
      <w:r>
        <w:rPr>
          <w:rFonts w:hint="eastAsia" w:ascii="仿宋_GB2312" w:hAnsi="仿宋_GB2312" w:eastAsia="仿宋_GB2312" w:cs="仿宋_GB2312"/>
          <w:sz w:val="32"/>
          <w:szCs w:val="32"/>
          <w:u w:val="none"/>
          <w:lang w:val="en-US" w:eastAsia="zh-CN"/>
        </w:rPr>
        <w:t>万元，包括：一般行政管理事务</w:t>
      </w:r>
      <w:r>
        <w:rPr>
          <w:rFonts w:hint="eastAsia" w:ascii="仿宋_GB2312" w:hAnsi="仿宋_GB2312" w:eastAsia="仿宋_GB2312" w:cs="仿宋_GB2312"/>
          <w:sz w:val="32"/>
          <w:szCs w:val="32"/>
          <w:u w:val="single"/>
          <w:lang w:val="en-US" w:eastAsia="zh-CN"/>
        </w:rPr>
        <w:t xml:space="preserve"> 447 </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u w:val="single"/>
        </w:rPr>
        <w:t xml:space="preserve"> 专业第三方服务经费支出 </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14:paraId="59A97344">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发展与改革事务</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551.71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万元，包括：行政运行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1341.71</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本单位</w:t>
      </w:r>
      <w:r>
        <w:rPr>
          <w:rFonts w:hint="eastAsia" w:ascii="仿宋_GB2312" w:hAnsi="仿宋_GB2312" w:eastAsia="仿宋_GB2312" w:cs="仿宋_GB2312"/>
          <w:sz w:val="32"/>
          <w:szCs w:val="32"/>
          <w:u w:val="single"/>
          <w:lang w:val="en-US" w:eastAsia="zh-CN"/>
        </w:rPr>
        <w:t>基本</w:t>
      </w:r>
      <w:r>
        <w:rPr>
          <w:rFonts w:hint="eastAsia" w:ascii="仿宋_GB2312" w:hAnsi="仿宋_GB2312" w:eastAsia="仿宋_GB2312" w:cs="仿宋_GB2312"/>
          <w:sz w:val="32"/>
          <w:szCs w:val="32"/>
          <w:u w:val="single"/>
        </w:rPr>
        <w:t xml:space="preserve">支出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一般行政管理事务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210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专业第三方服务经费支出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 xml:space="preserve"> </w:t>
      </w:r>
    </w:p>
    <w:p w14:paraId="46836D7C">
      <w:pPr>
        <w:keepNext w:val="0"/>
        <w:keepLines w:val="0"/>
        <w:pageBreakBefore w:val="0"/>
        <w:widowControl w:val="0"/>
        <w:numPr>
          <w:ilvl w:val="0"/>
          <w:numId w:val="0"/>
        </w:numPr>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2.科学技术支出</w:t>
      </w:r>
      <w:r>
        <w:rPr>
          <w:rFonts w:hint="eastAsia" w:ascii="仿宋_GB2312" w:hAnsi="仿宋_GB2312" w:eastAsia="仿宋_GB2312" w:cs="仿宋_GB2312"/>
          <w:sz w:val="32"/>
          <w:szCs w:val="32"/>
          <w:u w:val="single"/>
          <w:lang w:val="en-US" w:eastAsia="zh-CN"/>
        </w:rPr>
        <w:t xml:space="preserve"> 1000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u w:val="single"/>
        </w:rPr>
        <w:t xml:space="preserve"> 增加</w:t>
      </w:r>
      <w:r>
        <w:rPr>
          <w:rFonts w:hint="eastAsia" w:ascii="仿宋_GB2312" w:hAnsi="仿宋_GB2312" w:eastAsia="仿宋_GB2312" w:cs="仿宋_GB2312"/>
          <w:sz w:val="32"/>
          <w:szCs w:val="32"/>
          <w:u w:val="single"/>
          <w:lang w:val="en-US" w:eastAsia="zh-CN"/>
        </w:rPr>
        <w:t>高新技术产业政策兑现</w:t>
      </w:r>
      <w:r>
        <w:rPr>
          <w:rFonts w:hint="eastAsia" w:ascii="仿宋_GB2312" w:hAnsi="仿宋_GB2312" w:eastAsia="仿宋_GB2312" w:cs="仿宋_GB2312"/>
          <w:sz w:val="32"/>
          <w:szCs w:val="32"/>
          <w:u w:val="single"/>
        </w:rPr>
        <w:t xml:space="preserve">专项支出预算 </w:t>
      </w:r>
      <w:r>
        <w:rPr>
          <w:rFonts w:hint="eastAsia" w:ascii="仿宋_GB2312" w:hAnsi="仿宋_GB2312" w:eastAsia="仿宋_GB2312" w:cs="仿宋_GB2312"/>
          <w:sz w:val="32"/>
          <w:szCs w:val="32"/>
        </w:rPr>
        <w:t>，其中：</w:t>
      </w:r>
    </w:p>
    <w:p w14:paraId="1FD46B95">
      <w:pPr>
        <w:keepNext w:val="0"/>
        <w:keepLines w:val="0"/>
        <w:pageBreakBefore w:val="0"/>
        <w:widowControl w:val="0"/>
        <w:numPr>
          <w:ilvl w:val="0"/>
          <w:numId w:val="0"/>
        </w:numPr>
        <w:overflowPunct/>
        <w:topLinePunct w:val="0"/>
        <w:autoSpaceDE/>
        <w:autoSpaceDN/>
        <w:bidi w:val="0"/>
        <w:adjustRightInd w:val="0"/>
        <w:snapToGrid/>
        <w:spacing w:line="600" w:lineRule="exact"/>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技术研究与开发</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,000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万元，包括：其他技术研究与开发支出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1,000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本单位企业政策兑现</w:t>
      </w:r>
      <w:r>
        <w:rPr>
          <w:rFonts w:hint="eastAsia" w:ascii="仿宋_GB2312" w:hAnsi="仿宋_GB2312" w:eastAsia="仿宋_GB2312" w:cs="仿宋_GB2312"/>
          <w:sz w:val="32"/>
          <w:szCs w:val="32"/>
          <w:u w:val="single"/>
        </w:rPr>
        <w:t xml:space="preserve">专项支出  </w:t>
      </w:r>
      <w:r>
        <w:rPr>
          <w:rFonts w:hint="eastAsia" w:ascii="仿宋_GB2312" w:hAnsi="仿宋_GB2312" w:eastAsia="仿宋_GB2312" w:cs="仿宋_GB2312"/>
          <w:sz w:val="32"/>
          <w:szCs w:val="32"/>
        </w:rPr>
        <w:t>；</w:t>
      </w:r>
    </w:p>
    <w:p w14:paraId="7563F5A4">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节能环保支出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1,903.1</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年预算相比</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1,096.9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u w:val="single"/>
        </w:rPr>
        <w:t xml:space="preserve"> 节能环保专项支出预算</w:t>
      </w:r>
      <w:r>
        <w:rPr>
          <w:rFonts w:hint="eastAsia" w:ascii="仿宋_GB2312" w:hAnsi="仿宋_GB2312" w:eastAsia="仿宋_GB2312" w:cs="仿宋_GB2312"/>
          <w:sz w:val="32"/>
          <w:szCs w:val="32"/>
          <w:u w:val="single"/>
          <w:lang w:val="en-US"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62AE1C6E">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能源节约利用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1,903.1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万元，包括：能源节约利用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1,903.1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本单位企业政策扶持专项资金支出  </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14:paraId="3C8E3126">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商业服务业等支出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197,000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年预算相比增加</w:t>
      </w:r>
      <w:r>
        <w:rPr>
          <w:rFonts w:hint="eastAsia" w:ascii="仿宋_GB2312" w:hAnsi="仿宋_GB2312" w:eastAsia="仿宋_GB2312" w:cs="仿宋_GB2312"/>
          <w:sz w:val="32"/>
          <w:szCs w:val="32"/>
          <w:u w:val="single"/>
          <w:lang w:val="en-US" w:eastAsia="zh-CN"/>
        </w:rPr>
        <w:t>195,470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现代服务业政策兑现</w:t>
      </w:r>
      <w:r>
        <w:rPr>
          <w:rFonts w:hint="eastAsia" w:ascii="仿宋_GB2312" w:hAnsi="仿宋_GB2312" w:eastAsia="仿宋_GB2312" w:cs="仿宋_GB2312"/>
          <w:sz w:val="32"/>
          <w:szCs w:val="32"/>
          <w:u w:val="single"/>
        </w:rPr>
        <w:t xml:space="preserve">专项支出预算增加  </w:t>
      </w:r>
      <w:r>
        <w:rPr>
          <w:rFonts w:hint="eastAsia" w:ascii="仿宋_GB2312" w:hAnsi="仿宋_GB2312" w:eastAsia="仿宋_GB2312" w:cs="仿宋_GB2312"/>
          <w:sz w:val="32"/>
          <w:szCs w:val="32"/>
        </w:rPr>
        <w:t>，其中：</w:t>
      </w:r>
    </w:p>
    <w:p w14:paraId="392E8B39">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涉外发展服务支出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197,000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万元，包括：其他涉外发展服务支出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97,000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本单位企业政策扶持专项资金支出 </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14:paraId="1A2D29DC">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5.援助其他地区支出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年预算相比增加</w:t>
      </w:r>
      <w:r>
        <w:rPr>
          <w:rFonts w:hint="eastAsia" w:ascii="仿宋_GB2312" w:hAnsi="仿宋_GB2312" w:eastAsia="仿宋_GB2312" w:cs="仿宋_GB2312"/>
          <w:sz w:val="32"/>
          <w:szCs w:val="32"/>
          <w:u w:val="single"/>
          <w:lang w:val="en-US" w:eastAsia="zh-CN"/>
        </w:rPr>
        <w:t>1,025</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增加对口支援专项预算支出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4FFBD7AA">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,025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本单位</w:t>
      </w:r>
      <w:r>
        <w:rPr>
          <w:rFonts w:hint="eastAsia" w:ascii="仿宋_GB2312" w:hAnsi="仿宋_GB2312" w:eastAsia="仿宋_GB2312" w:cs="仿宋_GB2312"/>
          <w:sz w:val="32"/>
          <w:szCs w:val="32"/>
          <w:u w:val="single"/>
          <w:lang w:val="en-US" w:eastAsia="zh-CN"/>
        </w:rPr>
        <w:t>对口支援专项预算支出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B1539A7">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灾害防治及应急管理支出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58.45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年预算相比</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en-US" w:eastAsia="zh-CN"/>
        </w:rPr>
        <w:t xml:space="preserve"> 1.55</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u w:val="single"/>
        </w:rPr>
        <w:t xml:space="preserve"> 专项支出预算</w:t>
      </w:r>
      <w:r>
        <w:rPr>
          <w:rFonts w:hint="eastAsia" w:ascii="仿宋_GB2312" w:hAnsi="仿宋_GB2312" w:eastAsia="仿宋_GB2312" w:cs="仿宋_GB2312"/>
          <w:sz w:val="32"/>
          <w:szCs w:val="32"/>
          <w:u w:val="single"/>
          <w:lang w:val="en-US"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1BA0BB70">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rPr>
      </w:pPr>
      <w:r>
        <w:rPr>
          <w:rFonts w:hint="default" w:ascii="仿宋_GB2312" w:hAnsi="仿宋_GB2312" w:eastAsia="仿宋_GB2312" w:cs="仿宋_GB2312"/>
          <w:sz w:val="32"/>
          <w:szCs w:val="32"/>
          <w:lang w:val="en-US" w:eastAsia="zh-CN"/>
        </w:rPr>
        <w:t>应急管理事务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58.45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万元，包括：安全监管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58.45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u w:val="single"/>
        </w:rPr>
        <w:t xml:space="preserve">  本单位油气管道安全保护工作专项资金支出 </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14:paraId="372FBD53">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9" w:name="_Toc78784576"/>
      <w:r>
        <w:rPr>
          <w:rFonts w:hint="eastAsia" w:ascii="黑体" w:hAnsi="黑体" w:eastAsia="黑体" w:cs="黑体"/>
          <w:b w:val="0"/>
          <w:bCs/>
          <w:sz w:val="32"/>
          <w:szCs w:val="32"/>
        </w:rPr>
        <w:t>六、</w:t>
      </w:r>
      <w:bookmarkEnd w:id="9"/>
      <w:r>
        <w:rPr>
          <w:rFonts w:hint="eastAsia" w:ascii="黑体" w:hAnsi="黑体" w:eastAsia="黑体" w:cs="黑体"/>
          <w:b w:val="0"/>
          <w:bCs/>
          <w:sz w:val="32"/>
          <w:szCs w:val="32"/>
        </w:rPr>
        <w:t>关于财政拨款一般公共预算基本支出预算表的说明</w:t>
      </w:r>
    </w:p>
    <w:p w14:paraId="40D5FE92">
      <w:pPr>
        <w:keepNext w:val="0"/>
        <w:keepLines w:val="0"/>
        <w:pageBreakBefore w:val="0"/>
        <w:widowControl w:val="0"/>
        <w:overflowPunct/>
        <w:topLinePunct w:val="0"/>
        <w:autoSpaceDE/>
        <w:autoSpaceDN/>
        <w:bidi w:val="0"/>
        <w:adjustRightInd w:val="0"/>
        <w:snapToGrid/>
        <w:spacing w:line="600" w:lineRule="exact"/>
        <w:ind w:firstLine="633" w:firstLineChars="19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本部门一般公共预算基本支出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1,341.71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121.136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工作人员较202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578B6F75">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u w:val="single"/>
        </w:rPr>
        <w:t xml:space="preserve"> 1</w:t>
      </w:r>
      <w:r>
        <w:rPr>
          <w:rFonts w:hint="eastAsia" w:ascii="仿宋_GB2312" w:hAnsi="仿宋_GB2312" w:eastAsia="仿宋_GB2312" w:cs="仿宋_GB2312"/>
          <w:sz w:val="32"/>
          <w:szCs w:val="32"/>
          <w:u w:val="single"/>
          <w:lang w:val="en-US" w:eastAsia="zh-CN"/>
        </w:rPr>
        <w:t>,294.4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万元，主要包括：基本工资、津贴补贴、机关事业单位基本养老保险缴费、职业年金缴费、职工基本医疗保险缴费、其他社会保障缴费、住房公积金。</w:t>
      </w:r>
    </w:p>
    <w:p w14:paraId="64BA08A1">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47.31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万元，主要包括：包括办公费、手续费、水费、邮电费、差旅费、维修费、培训费、会议费，公务接待费、劳务费、</w:t>
      </w:r>
      <w:r>
        <w:rPr>
          <w:rFonts w:hint="eastAsia" w:ascii="仿宋_GB2312" w:hAnsi="仿宋_GB2312" w:eastAsia="仿宋_GB2312" w:cs="仿宋_GB2312"/>
          <w:sz w:val="32"/>
          <w:szCs w:val="32"/>
          <w:lang w:val="en-US" w:eastAsia="zh-CN"/>
        </w:rPr>
        <w:t>委托业务费、</w:t>
      </w:r>
      <w:r>
        <w:rPr>
          <w:rFonts w:hint="eastAsia" w:ascii="仿宋_GB2312" w:hAnsi="仿宋_GB2312" w:eastAsia="仿宋_GB2312" w:cs="仿宋_GB2312"/>
          <w:sz w:val="32"/>
          <w:szCs w:val="32"/>
        </w:rPr>
        <w:t>其他交通费费用、其他商品和服务支出。</w:t>
      </w:r>
    </w:p>
    <w:p w14:paraId="0629DF2B">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10" w:name="_Toc78784577"/>
      <w:r>
        <w:rPr>
          <w:rFonts w:hint="eastAsia" w:ascii="黑体" w:hAnsi="黑体" w:eastAsia="黑体" w:cs="黑体"/>
          <w:b w:val="0"/>
          <w:bCs/>
          <w:sz w:val="32"/>
          <w:szCs w:val="32"/>
        </w:rPr>
        <w:t>七、关于财政拨款一般公共预算“三公”经费支出预算表的说明</w:t>
      </w:r>
    </w:p>
    <w:p w14:paraId="6738BD60">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2025年一般公共预算“三公”经费安排</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未增加预算安排</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。具体情况：</w:t>
      </w:r>
    </w:p>
    <w:p w14:paraId="14D04C34">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（一）2025年因公出国（境）费预算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均未安排</w:t>
      </w:r>
      <w:r>
        <w:rPr>
          <w:rFonts w:hint="eastAsia" w:ascii="仿宋_GB2312" w:hAnsi="仿宋_GB2312" w:eastAsia="仿宋_GB2312" w:cs="仿宋_GB2312"/>
          <w:sz w:val="32"/>
          <w:szCs w:val="32"/>
          <w:u w:val="single"/>
        </w:rPr>
        <w:t xml:space="preserve">因公出国（境）费 </w:t>
      </w:r>
      <w:r>
        <w:rPr>
          <w:rFonts w:hint="eastAsia" w:ascii="仿宋_GB2312" w:hAnsi="仿宋_GB2312" w:eastAsia="仿宋_GB2312" w:cs="仿宋_GB2312"/>
          <w:sz w:val="32"/>
          <w:szCs w:val="32"/>
        </w:rPr>
        <w:t>。</w:t>
      </w:r>
    </w:p>
    <w:p w14:paraId="119B1BED">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（二）2025年公务用车购置及运行费预算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万元，其中公务用车运行费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不涉及</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不安排购置公务用车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F265B09">
      <w:pPr>
        <w:keepNext w:val="0"/>
        <w:keepLines w:val="0"/>
        <w:pageBreakBefore w:val="0"/>
        <w:widowControl w:val="0"/>
        <w:overflowPunct/>
        <w:topLinePunct w:val="0"/>
        <w:autoSpaceDE/>
        <w:autoSpaceDN/>
        <w:bidi w:val="0"/>
        <w:adjustRightInd w:val="0"/>
        <w:snapToGrid/>
        <w:spacing w:line="600" w:lineRule="exact"/>
        <w:ind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（三）2025年公务接待费预算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万元，与2024年预算相比增加（减少）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未增加预算安排</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059D2DD">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八、</w:t>
      </w:r>
      <w:bookmarkEnd w:id="10"/>
      <w:r>
        <w:rPr>
          <w:rFonts w:hint="eastAsia" w:ascii="黑体" w:hAnsi="黑体" w:eastAsia="黑体" w:cs="黑体"/>
          <w:b w:val="0"/>
          <w:bCs/>
          <w:sz w:val="32"/>
          <w:szCs w:val="32"/>
        </w:rPr>
        <w:t>关于财政拨款政府性基金预算支出预算表的说明</w:t>
      </w:r>
    </w:p>
    <w:p w14:paraId="514308C4">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楷体" w:hAnsi="楷体" w:eastAsia="楷体" w:cs="楷体"/>
          <w:color w:val="FF0000"/>
          <w:sz w:val="32"/>
          <w:szCs w:val="32"/>
        </w:rPr>
      </w:pPr>
      <w:r>
        <w:rPr>
          <w:rFonts w:hint="eastAsia" w:ascii="仿宋_GB2312" w:hAnsi="仿宋_GB2312" w:eastAsia="仿宋_GB2312" w:cs="仿宋_GB2312"/>
          <w:sz w:val="32"/>
          <w:szCs w:val="32"/>
        </w:rPr>
        <w:t>2025年本</w:t>
      </w:r>
      <w:r>
        <w:rPr>
          <w:rFonts w:hint="eastAsia" w:eastAsia="仿宋_GB2312"/>
          <w:sz w:val="32"/>
          <w:szCs w:val="32"/>
        </w:rPr>
        <w:t>部门预算中没有使用政府性基金预算安排的支出</w:t>
      </w:r>
      <w:r>
        <w:rPr>
          <w:rFonts w:hint="eastAsia" w:ascii="楷体" w:hAnsi="楷体" w:eastAsia="楷体" w:cs="楷体"/>
          <w:sz w:val="32"/>
          <w:szCs w:val="32"/>
        </w:rPr>
        <w:t>。</w:t>
      </w:r>
    </w:p>
    <w:p w14:paraId="74F6ABD7">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11" w:name="_Toc78784578"/>
      <w:r>
        <w:rPr>
          <w:rFonts w:hint="eastAsia" w:ascii="黑体" w:hAnsi="黑体" w:eastAsia="黑体" w:cs="黑体"/>
          <w:b w:val="0"/>
          <w:bCs/>
          <w:sz w:val="32"/>
          <w:szCs w:val="32"/>
        </w:rPr>
        <w:t>九、</w:t>
      </w:r>
      <w:bookmarkEnd w:id="11"/>
      <w:r>
        <w:rPr>
          <w:rFonts w:hint="eastAsia" w:ascii="黑体" w:hAnsi="黑体" w:eastAsia="黑体" w:cs="黑体"/>
          <w:b w:val="0"/>
          <w:bCs/>
          <w:sz w:val="32"/>
          <w:szCs w:val="32"/>
        </w:rPr>
        <w:t>关于国有资本经营预算支出预算表的说明</w:t>
      </w:r>
    </w:p>
    <w:p w14:paraId="0FF3865B">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2025年本部门预算中没有使用国有资本经营预算预算安排的支出。</w:t>
      </w:r>
    </w:p>
    <w:p w14:paraId="37045021">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b w:val="0"/>
          <w:bCs/>
          <w:sz w:val="32"/>
          <w:szCs w:val="32"/>
        </w:rPr>
      </w:pPr>
      <w:bookmarkStart w:id="12" w:name="_Toc78784579"/>
      <w:r>
        <w:rPr>
          <w:rFonts w:hint="eastAsia" w:ascii="黑体" w:hAnsi="黑体" w:eastAsia="黑体" w:cs="黑体"/>
          <w:b w:val="0"/>
          <w:bCs/>
          <w:sz w:val="32"/>
          <w:szCs w:val="32"/>
        </w:rPr>
        <w:t>十、其他重要事项的情况说明</w:t>
      </w:r>
    </w:p>
    <w:p w14:paraId="61967BF2">
      <w:pPr>
        <w:keepNext w:val="0"/>
        <w:keepLines w:val="0"/>
        <w:pageBreakBefore w:val="0"/>
        <w:widowControl w:val="0"/>
        <w:overflowPunct/>
        <w:topLinePunct w:val="0"/>
        <w:autoSpaceDE/>
        <w:autoSpaceDN/>
        <w:bidi w:val="0"/>
        <w:adjustRightInd w:val="0"/>
        <w:snapToGrid/>
        <w:spacing w:line="600" w:lineRule="exact"/>
        <w:ind w:left="480" w:leftChars="200"/>
        <w:jc w:val="both"/>
        <w:textAlignment w:val="baseline"/>
        <w:rPr>
          <w:rFonts w:ascii="楷体" w:hAnsi="楷体" w:eastAsia="楷体" w:cs="仿宋_GB2312"/>
          <w:b/>
          <w:bCs w:val="0"/>
          <w:sz w:val="32"/>
          <w:szCs w:val="32"/>
        </w:rPr>
      </w:pPr>
      <w:r>
        <w:rPr>
          <w:rFonts w:hint="eastAsia" w:ascii="楷体" w:hAnsi="楷体" w:eastAsia="楷体" w:cs="仿宋_GB2312"/>
          <w:b/>
          <w:bCs w:val="0"/>
          <w:sz w:val="32"/>
          <w:szCs w:val="32"/>
        </w:rPr>
        <w:t>（</w:t>
      </w:r>
      <w:r>
        <w:rPr>
          <w:rFonts w:hint="eastAsia" w:ascii="楷体_GB2312" w:eastAsia="楷体_GB2312"/>
          <w:b/>
          <w:bCs w:val="0"/>
          <w:sz w:val="32"/>
          <w:szCs w:val="32"/>
        </w:rPr>
        <w:t>一）</w:t>
      </w:r>
      <w:r>
        <w:rPr>
          <w:rFonts w:ascii="楷体_GB2312" w:eastAsia="楷体_GB2312"/>
          <w:b/>
          <w:bCs w:val="0"/>
          <w:sz w:val="32"/>
          <w:szCs w:val="32"/>
        </w:rPr>
        <w:t>机关运行经费</w:t>
      </w:r>
      <w:bookmarkEnd w:id="12"/>
    </w:p>
    <w:p w14:paraId="0939AE58">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rPr>
        <w:t>本单位的机</w:t>
      </w:r>
      <w:r>
        <w:rPr>
          <w:rFonts w:hint="eastAsia" w:ascii="仿宋_GB2312" w:hAnsi="仿宋_GB2312" w:eastAsia="仿宋_GB2312" w:cs="仿宋_GB2312"/>
          <w:sz w:val="32"/>
          <w:szCs w:val="32"/>
        </w:rPr>
        <w:t>关运行经费预算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47.31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万元，包括办公费</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rPr>
        <w:t>万元、手续费</w:t>
      </w:r>
      <w:r>
        <w:rPr>
          <w:rFonts w:hint="eastAsia" w:ascii="仿宋_GB2312" w:hAnsi="仿宋_GB2312" w:eastAsia="仿宋_GB2312" w:cs="仿宋_GB2312"/>
          <w:sz w:val="32"/>
          <w:szCs w:val="32"/>
          <w:u w:val="single"/>
        </w:rPr>
        <w:t>0.2</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u w:val="single"/>
        </w:rPr>
        <w:t>0.5</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u w:val="single"/>
          <w:lang w:val="en-US" w:eastAsia="zh-CN"/>
        </w:rPr>
        <w:t xml:space="preserve"> 9.3</w:t>
      </w:r>
      <w:r>
        <w:rPr>
          <w:rFonts w:hint="eastAsia" w:ascii="仿宋_GB2312" w:hAnsi="仿宋_GB2312" w:eastAsia="仿宋_GB2312" w:cs="仿宋_GB2312"/>
          <w:sz w:val="32"/>
          <w:szCs w:val="32"/>
        </w:rPr>
        <w:t>万元、维修费</w:t>
      </w:r>
      <w:r>
        <w:rPr>
          <w:rFonts w:hint="eastAsia" w:ascii="仿宋_GB2312" w:hAnsi="仿宋_GB2312" w:eastAsia="仿宋_GB2312" w:cs="仿宋_GB2312"/>
          <w:sz w:val="32"/>
          <w:szCs w:val="32"/>
          <w:u w:val="single"/>
        </w:rPr>
        <w:t>0.3</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u w:val="single"/>
        </w:rPr>
        <w:t>0.4</w:t>
      </w:r>
      <w:r>
        <w:rPr>
          <w:rFonts w:hint="eastAsia" w:ascii="仿宋_GB2312" w:hAnsi="仿宋_GB2312" w:eastAsia="仿宋_GB2312" w:cs="仿宋_GB2312"/>
          <w:sz w:val="32"/>
          <w:szCs w:val="32"/>
        </w:rPr>
        <w:t>万元、会议费</w:t>
      </w:r>
      <w:r>
        <w:rPr>
          <w:rFonts w:hint="eastAsia" w:ascii="仿宋_GB2312" w:hAnsi="仿宋_GB2312" w:eastAsia="仿宋_GB2312" w:cs="仿宋_GB2312"/>
          <w:sz w:val="32"/>
          <w:szCs w:val="32"/>
          <w:u w:val="single"/>
          <w:lang w:val="en-US" w:eastAsia="zh-CN"/>
        </w:rPr>
        <w:t xml:space="preserve"> 0.4 </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u w:val="single"/>
        </w:rPr>
        <w:t>0.3</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u w:val="single"/>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委托业务费</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5.19</w:t>
      </w:r>
      <w:r>
        <w:rPr>
          <w:rFonts w:hint="eastAsia" w:ascii="仿宋_GB2312" w:hAnsi="仿宋_GB2312" w:eastAsia="仿宋_GB2312" w:cs="仿宋_GB2312"/>
          <w:sz w:val="32"/>
          <w:szCs w:val="32"/>
        </w:rPr>
        <w:t>万元，其他商品和服务支出</w:t>
      </w:r>
      <w:r>
        <w:rPr>
          <w:rFonts w:hint="eastAsia" w:ascii="仿宋_GB2312" w:hAnsi="仿宋_GB2312" w:eastAsia="仿宋_GB2312" w:cs="仿宋_GB2312"/>
          <w:sz w:val="32"/>
          <w:szCs w:val="32"/>
          <w:u w:val="single"/>
          <w:lang w:val="en-US" w:eastAsia="zh-CN"/>
        </w:rPr>
        <w:t xml:space="preserve">  6.22 </w:t>
      </w:r>
      <w:r>
        <w:rPr>
          <w:rFonts w:hint="eastAsia" w:ascii="仿宋_GB2312" w:hAnsi="仿宋_GB2312" w:eastAsia="仿宋_GB2312" w:cs="仿宋_GB2312"/>
          <w:sz w:val="32"/>
          <w:szCs w:val="32"/>
        </w:rPr>
        <w:t>万元。</w:t>
      </w:r>
    </w:p>
    <w:p w14:paraId="4E46739C">
      <w:pPr>
        <w:keepNext w:val="0"/>
        <w:keepLines w:val="0"/>
        <w:pageBreakBefore w:val="0"/>
        <w:widowControl w:val="0"/>
        <w:overflowPunct/>
        <w:topLinePunct w:val="0"/>
        <w:autoSpaceDE/>
        <w:autoSpaceDN/>
        <w:bidi w:val="0"/>
        <w:adjustRightInd w:val="0"/>
        <w:snapToGrid/>
        <w:spacing w:line="600" w:lineRule="exact"/>
        <w:ind w:left="480" w:leftChars="200"/>
        <w:jc w:val="both"/>
        <w:textAlignment w:val="baseline"/>
        <w:rPr>
          <w:rFonts w:ascii="楷体" w:hAnsi="楷体" w:eastAsia="楷体" w:cs="仿宋_GB2312"/>
          <w:b/>
          <w:sz w:val="32"/>
          <w:szCs w:val="32"/>
        </w:rPr>
      </w:pPr>
      <w:r>
        <w:rPr>
          <w:rFonts w:hint="eastAsia" w:ascii="楷体" w:hAnsi="楷体" w:eastAsia="楷体" w:cs="仿宋_GB2312"/>
          <w:b/>
          <w:sz w:val="32"/>
          <w:szCs w:val="32"/>
        </w:rPr>
        <w:t>（二）</w:t>
      </w:r>
      <w:r>
        <w:rPr>
          <w:rFonts w:ascii="楷体" w:hAnsi="楷体" w:eastAsia="楷体" w:cs="仿宋_GB2312"/>
          <w:b/>
          <w:sz w:val="32"/>
          <w:szCs w:val="32"/>
        </w:rPr>
        <w:t>政府采购情况</w:t>
      </w:r>
    </w:p>
    <w:p w14:paraId="6B7BDF7D">
      <w:pPr>
        <w:keepNext w:val="0"/>
        <w:keepLines w:val="0"/>
        <w:pageBreakBefore w:val="0"/>
        <w:widowControl w:val="0"/>
        <w:kinsoku w:val="0"/>
        <w:wordWrap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本部门2025年安排政府采购预算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552.45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其中：政府采购货物支出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万元、政府采购工程支出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万元、政府采购服务支出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548.45</w:t>
      </w:r>
      <w:r>
        <w:rPr>
          <w:rFonts w:hint="eastAsia" w:ascii="仿宋_GB2312" w:hAnsi="仿宋_GB2312" w:eastAsia="仿宋_GB2312" w:cs="仿宋_GB2312"/>
          <w:color w:val="000000"/>
          <w:sz w:val="32"/>
          <w:szCs w:val="32"/>
        </w:rPr>
        <w:t>万元。主要项目是：经开区“十五五”规划编制工作专项</w:t>
      </w:r>
      <w:r>
        <w:rPr>
          <w:rFonts w:hint="eastAsia" w:ascii="仿宋_GB2312" w:hAnsi="仿宋_GB2312" w:eastAsia="仿宋_GB2312" w:cs="仿宋_GB2312"/>
          <w:color w:val="000000"/>
          <w:sz w:val="32"/>
          <w:szCs w:val="32"/>
          <w:u w:val="single"/>
          <w:lang w:val="en-US" w:eastAsia="zh-CN"/>
        </w:rPr>
        <w:t xml:space="preserve"> 350</w:t>
      </w:r>
      <w:r>
        <w:rPr>
          <w:rFonts w:hint="eastAsia" w:ascii="仿宋_GB2312" w:hAnsi="仿宋_GB2312" w:eastAsia="仿宋_GB2312" w:cs="仿宋_GB2312"/>
          <w:color w:val="000000"/>
          <w:sz w:val="32"/>
          <w:szCs w:val="32"/>
        </w:rPr>
        <w:t>万元，经开区入区评审项目</w:t>
      </w:r>
      <w:r>
        <w:rPr>
          <w:rFonts w:hint="eastAsia" w:ascii="仿宋_GB2312" w:hAnsi="仿宋_GB2312" w:eastAsia="仿宋_GB2312" w:cs="仿宋_GB2312"/>
          <w:color w:val="000000"/>
          <w:sz w:val="32"/>
          <w:szCs w:val="32"/>
          <w:u w:val="single"/>
          <w:lang w:val="en-US" w:eastAsia="zh-CN"/>
        </w:rPr>
        <w:t xml:space="preserve"> 120</w:t>
      </w:r>
      <w:r>
        <w:rPr>
          <w:rFonts w:hint="eastAsia" w:ascii="仿宋_GB2312" w:hAnsi="仿宋_GB2312" w:eastAsia="仿宋_GB2312" w:cs="仿宋_GB2312"/>
          <w:color w:val="000000"/>
          <w:sz w:val="32"/>
          <w:szCs w:val="32"/>
        </w:rPr>
        <w:t>万元，经开区能源规划编制项目</w:t>
      </w:r>
      <w:r>
        <w:rPr>
          <w:rFonts w:hint="eastAsia" w:ascii="仿宋_GB2312" w:hAnsi="仿宋_GB2312" w:eastAsia="仿宋_GB2312" w:cs="仿宋_GB2312"/>
          <w:color w:val="000000"/>
          <w:sz w:val="32"/>
          <w:szCs w:val="32"/>
          <w:u w:val="single"/>
          <w:lang w:val="en-US" w:eastAsia="zh-CN"/>
        </w:rPr>
        <w:t xml:space="preserve"> 20</w:t>
      </w:r>
      <w:r>
        <w:rPr>
          <w:rFonts w:hint="eastAsia" w:ascii="仿宋_GB2312" w:hAnsi="仿宋_GB2312" w:eastAsia="仿宋_GB2312" w:cs="仿宋_GB2312"/>
          <w:color w:val="000000"/>
          <w:sz w:val="32"/>
          <w:szCs w:val="32"/>
        </w:rPr>
        <w:t>万元，油气管道安全保护工作专项</w:t>
      </w:r>
      <w:r>
        <w:rPr>
          <w:rFonts w:hint="eastAsia" w:ascii="仿宋_GB2312" w:hAnsi="仿宋_GB2312" w:eastAsia="仿宋_GB2312" w:cs="仿宋_GB2312"/>
          <w:color w:val="000000"/>
          <w:sz w:val="32"/>
          <w:szCs w:val="32"/>
          <w:u w:val="single"/>
          <w:lang w:val="en-US" w:eastAsia="zh-CN"/>
        </w:rPr>
        <w:t xml:space="preserve"> 58.45</w:t>
      </w:r>
      <w:r>
        <w:rPr>
          <w:rFonts w:hint="eastAsia" w:ascii="仿宋_GB2312" w:hAnsi="仿宋_GB2312" w:eastAsia="仿宋_GB2312" w:cs="仿宋_GB2312"/>
          <w:color w:val="000000"/>
          <w:sz w:val="32"/>
          <w:szCs w:val="32"/>
        </w:rPr>
        <w:t>万元。</w:t>
      </w:r>
    </w:p>
    <w:p w14:paraId="1820ACAD">
      <w:pPr>
        <w:keepNext w:val="0"/>
        <w:keepLines w:val="0"/>
        <w:pageBreakBefore w:val="0"/>
        <w:widowControl w:val="0"/>
        <w:overflowPunct/>
        <w:topLinePunct w:val="0"/>
        <w:autoSpaceDE/>
        <w:autoSpaceDN/>
        <w:bidi w:val="0"/>
        <w:adjustRightInd w:val="0"/>
        <w:snapToGrid/>
        <w:spacing w:line="600" w:lineRule="exact"/>
        <w:ind w:left="480" w:leftChars="200"/>
        <w:jc w:val="both"/>
        <w:textAlignment w:val="baseline"/>
        <w:rPr>
          <w:rFonts w:hint="eastAsia" w:ascii="楷体" w:hAnsi="楷体" w:eastAsia="楷体" w:cs="仿宋_GB2312"/>
          <w:b/>
          <w:sz w:val="32"/>
          <w:szCs w:val="32"/>
        </w:rPr>
      </w:pPr>
      <w:r>
        <w:rPr>
          <w:rFonts w:ascii="楷体" w:hAnsi="楷体" w:eastAsia="楷体" w:cs="仿宋_GB2312"/>
          <w:b/>
          <w:sz w:val="32"/>
          <w:szCs w:val="32"/>
        </w:rPr>
        <w:t>（</w:t>
      </w:r>
      <w:r>
        <w:rPr>
          <w:rFonts w:hint="eastAsia" w:ascii="楷体" w:hAnsi="楷体" w:eastAsia="楷体" w:cs="仿宋_GB2312"/>
          <w:b/>
          <w:sz w:val="32"/>
          <w:szCs w:val="32"/>
        </w:rPr>
        <w:t>三</w:t>
      </w:r>
      <w:r>
        <w:rPr>
          <w:rFonts w:ascii="楷体" w:hAnsi="楷体" w:eastAsia="楷体" w:cs="仿宋_GB2312"/>
          <w:b/>
          <w:sz w:val="32"/>
          <w:szCs w:val="32"/>
        </w:rPr>
        <w:t>）</w:t>
      </w:r>
      <w:r>
        <w:rPr>
          <w:rFonts w:hint="eastAsia" w:ascii="楷体" w:hAnsi="楷体" w:eastAsia="楷体" w:cs="仿宋_GB2312"/>
          <w:b/>
          <w:sz w:val="32"/>
          <w:szCs w:val="32"/>
        </w:rPr>
        <w:t>国有资产占用情况</w:t>
      </w:r>
    </w:p>
    <w:p w14:paraId="2F5B2B48">
      <w:pPr>
        <w:keepNext w:val="0"/>
        <w:keepLines w:val="0"/>
        <w:pageBreakBefore w:val="0"/>
        <w:widowControl w:val="0"/>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color w:val="004080"/>
          <w:sz w:val="32"/>
          <w:szCs w:val="32"/>
          <w:lang w:val="zh-CN"/>
        </w:rPr>
      </w:pPr>
      <w:r>
        <w:rPr>
          <w:rFonts w:hint="eastAsia" w:ascii="仿宋_GB2312" w:hAnsi="仿宋_GB2312" w:eastAsia="仿宋_GB2312" w:cs="仿宋_GB2312"/>
          <w:color w:val="000000"/>
          <w:sz w:val="32"/>
          <w:szCs w:val="32"/>
        </w:rPr>
        <w:t>截至2024年7月底，本部门各单位共有车辆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辆，其中：副部（省）级及以上领导用车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辆、主要负责人干部用车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辆、执法执勤用车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辆、特种专业技术用车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辆、离退休干部服务用车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辆，其他用车主要包括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。单价（账面原值）100万以上的设备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4080"/>
          <w:sz w:val="32"/>
          <w:szCs w:val="32"/>
          <w:lang w:val="zh-CN"/>
        </w:rPr>
        <w:t xml:space="preserve"> </w:t>
      </w:r>
    </w:p>
    <w:p w14:paraId="583CF256">
      <w:pPr>
        <w:keepNext w:val="0"/>
        <w:keepLines w:val="0"/>
        <w:pageBreakBefore w:val="0"/>
        <w:widowControl w:val="0"/>
        <w:overflowPunct/>
        <w:topLinePunct w:val="0"/>
        <w:autoSpaceDE/>
        <w:autoSpaceDN/>
        <w:bidi w:val="0"/>
        <w:adjustRightInd w:val="0"/>
        <w:snapToGrid/>
        <w:spacing w:line="600" w:lineRule="exact"/>
        <w:ind w:left="480" w:leftChars="200"/>
        <w:jc w:val="both"/>
        <w:textAlignment w:val="baseline"/>
        <w:rPr>
          <w:rFonts w:ascii="楷体" w:hAnsi="楷体" w:eastAsia="楷体" w:cs="仿宋_GB2312"/>
          <w:b/>
          <w:sz w:val="32"/>
          <w:szCs w:val="32"/>
        </w:rPr>
      </w:pPr>
      <w:r>
        <w:rPr>
          <w:rFonts w:ascii="楷体" w:hAnsi="楷体" w:eastAsia="楷体" w:cs="仿宋_GB2312"/>
          <w:b/>
          <w:sz w:val="32"/>
          <w:szCs w:val="32"/>
        </w:rPr>
        <w:t>（</w:t>
      </w:r>
      <w:r>
        <w:rPr>
          <w:rFonts w:hint="eastAsia" w:ascii="楷体" w:hAnsi="楷体" w:eastAsia="楷体" w:cs="仿宋_GB2312"/>
          <w:b/>
          <w:sz w:val="32"/>
          <w:szCs w:val="32"/>
        </w:rPr>
        <w:t>四</w:t>
      </w:r>
      <w:r>
        <w:rPr>
          <w:rFonts w:ascii="楷体" w:hAnsi="楷体" w:eastAsia="楷体" w:cs="仿宋_GB2312"/>
          <w:b/>
          <w:sz w:val="32"/>
          <w:szCs w:val="32"/>
        </w:rPr>
        <w:t>）</w:t>
      </w:r>
      <w:r>
        <w:rPr>
          <w:rFonts w:hint="eastAsia" w:ascii="楷体" w:hAnsi="楷体" w:eastAsia="楷体" w:cs="仿宋_GB2312"/>
          <w:b/>
          <w:sz w:val="32"/>
          <w:szCs w:val="32"/>
        </w:rPr>
        <w:t>预算绩效情况说明</w:t>
      </w:r>
    </w:p>
    <w:p w14:paraId="0D08A361">
      <w:pPr>
        <w:keepNext w:val="0"/>
        <w:keepLines w:val="0"/>
        <w:pageBreakBefore w:val="0"/>
        <w:widowControl w:val="0"/>
        <w:overflowPunct/>
        <w:topLinePunct w:val="0"/>
        <w:autoSpaceDE/>
        <w:autoSpaceDN/>
        <w:bidi w:val="0"/>
        <w:adjustRightInd w:val="0"/>
        <w:snapToGrid/>
        <w:spacing w:line="600" w:lineRule="exact"/>
        <w:ind w:left="151" w:leftChars="63" w:firstLine="480" w:firstLineChars="15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本部门2025年实行绩效目标管理的项目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个，涉及预算金额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201,643.55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color w:val="000000"/>
          <w:sz w:val="32"/>
          <w:szCs w:val="32"/>
        </w:rPr>
        <w:t>元。</w:t>
      </w:r>
    </w:p>
    <w:p w14:paraId="22E5BB1B">
      <w:pPr>
        <w:pStyle w:val="2"/>
        <w:keepLines w:val="0"/>
        <w:spacing w:line="600" w:lineRule="exact"/>
        <w:jc w:val="center"/>
        <w:rPr>
          <w:rFonts w:hint="eastAsia" w:ascii="方正小标宋简体" w:hAnsi="方正小标宋简体" w:eastAsia="方正小标宋简体" w:cs="方正小标宋简体"/>
          <w:b w:val="0"/>
          <w:bCs/>
          <w:sz w:val="44"/>
          <w:szCs w:val="44"/>
          <w:lang w:val="en-US" w:eastAsia="zh-CN"/>
        </w:rPr>
      </w:pPr>
      <w:bookmarkStart w:id="13" w:name="_Toc78784585"/>
    </w:p>
    <w:p w14:paraId="665DBF04">
      <w:pPr>
        <w:rPr>
          <w:rFonts w:hint="eastAsia" w:ascii="方正小标宋简体" w:hAnsi="方正小标宋简体" w:eastAsia="方正小标宋简体" w:cs="方正小标宋简体"/>
          <w:b w:val="0"/>
          <w:bCs/>
          <w:sz w:val="44"/>
          <w:szCs w:val="44"/>
          <w:lang w:val="en-US" w:eastAsia="zh-CN"/>
        </w:rPr>
      </w:pPr>
    </w:p>
    <w:p w14:paraId="2FF1942C">
      <w:pPr>
        <w:rPr>
          <w:rFonts w:hint="eastAsia" w:ascii="方正小标宋简体" w:hAnsi="方正小标宋简体" w:eastAsia="方正小标宋简体" w:cs="方正小标宋简体"/>
          <w:b w:val="0"/>
          <w:bCs/>
          <w:sz w:val="44"/>
          <w:szCs w:val="44"/>
          <w:lang w:val="en-US" w:eastAsia="zh-CN"/>
        </w:rPr>
      </w:pPr>
    </w:p>
    <w:p w14:paraId="47BB6540">
      <w:pPr>
        <w:rPr>
          <w:rFonts w:hint="eastAsia" w:ascii="方正小标宋简体" w:hAnsi="方正小标宋简体" w:eastAsia="方正小标宋简体" w:cs="方正小标宋简体"/>
          <w:b w:val="0"/>
          <w:bCs/>
          <w:sz w:val="44"/>
          <w:szCs w:val="44"/>
          <w:lang w:val="en-US" w:eastAsia="zh-CN"/>
        </w:rPr>
      </w:pPr>
    </w:p>
    <w:p w14:paraId="35636F48">
      <w:pPr>
        <w:rPr>
          <w:rFonts w:hint="eastAsia" w:ascii="方正小标宋简体" w:hAnsi="方正小标宋简体" w:eastAsia="方正小标宋简体" w:cs="方正小标宋简体"/>
          <w:b w:val="0"/>
          <w:bCs/>
          <w:sz w:val="44"/>
          <w:szCs w:val="44"/>
          <w:lang w:val="en-US" w:eastAsia="zh-CN"/>
        </w:rPr>
      </w:pPr>
    </w:p>
    <w:p w14:paraId="3931ED23">
      <w:pPr>
        <w:rPr>
          <w:rFonts w:hint="eastAsia" w:ascii="方正小标宋简体" w:hAnsi="方正小标宋简体" w:eastAsia="方正小标宋简体" w:cs="方正小标宋简体"/>
          <w:b w:val="0"/>
          <w:bCs/>
          <w:sz w:val="44"/>
          <w:szCs w:val="44"/>
          <w:lang w:val="en-US" w:eastAsia="zh-CN"/>
        </w:rPr>
      </w:pPr>
    </w:p>
    <w:p w14:paraId="34A773B1">
      <w:pPr>
        <w:rPr>
          <w:rFonts w:hint="eastAsia" w:ascii="方正小标宋简体" w:hAnsi="方正小标宋简体" w:eastAsia="方正小标宋简体" w:cs="方正小标宋简体"/>
          <w:b w:val="0"/>
          <w:bCs/>
          <w:sz w:val="44"/>
          <w:szCs w:val="44"/>
          <w:lang w:val="en-US" w:eastAsia="zh-CN"/>
        </w:rPr>
      </w:pPr>
    </w:p>
    <w:p w14:paraId="1EF1CC85">
      <w:pPr>
        <w:rPr>
          <w:rFonts w:hint="eastAsia" w:ascii="方正小标宋简体" w:hAnsi="方正小标宋简体" w:eastAsia="方正小标宋简体" w:cs="方正小标宋简体"/>
          <w:b w:val="0"/>
          <w:bCs/>
          <w:sz w:val="44"/>
          <w:szCs w:val="44"/>
          <w:lang w:val="en-US" w:eastAsia="zh-CN"/>
        </w:rPr>
      </w:pPr>
    </w:p>
    <w:p w14:paraId="7F9BE106">
      <w:pPr>
        <w:rPr>
          <w:rFonts w:hint="eastAsia" w:ascii="方正小标宋简体" w:hAnsi="方正小标宋简体" w:eastAsia="方正小标宋简体" w:cs="方正小标宋简体"/>
          <w:b w:val="0"/>
          <w:bCs/>
          <w:sz w:val="44"/>
          <w:szCs w:val="44"/>
          <w:lang w:val="en-US" w:eastAsia="zh-CN"/>
        </w:rPr>
      </w:pPr>
    </w:p>
    <w:p w14:paraId="09FE740E">
      <w:pPr>
        <w:rPr>
          <w:rFonts w:hint="eastAsia" w:ascii="方正小标宋简体" w:hAnsi="方正小标宋简体" w:eastAsia="方正小标宋简体" w:cs="方正小标宋简体"/>
          <w:b w:val="0"/>
          <w:bCs/>
          <w:sz w:val="44"/>
          <w:szCs w:val="44"/>
          <w:lang w:val="en-US" w:eastAsia="zh-CN"/>
        </w:rPr>
      </w:pPr>
    </w:p>
    <w:p w14:paraId="31C66F15">
      <w:pPr>
        <w:rPr>
          <w:rFonts w:hint="eastAsia" w:ascii="方正小标宋简体" w:hAnsi="方正小标宋简体" w:eastAsia="方正小标宋简体" w:cs="方正小标宋简体"/>
          <w:b w:val="0"/>
          <w:bCs/>
          <w:sz w:val="44"/>
          <w:szCs w:val="44"/>
          <w:lang w:val="en-US" w:eastAsia="zh-CN"/>
        </w:rPr>
      </w:pPr>
    </w:p>
    <w:p w14:paraId="7C620755">
      <w:pPr>
        <w:rPr>
          <w:rFonts w:hint="eastAsia" w:ascii="方正小标宋简体" w:hAnsi="方正小标宋简体" w:eastAsia="方正小标宋简体" w:cs="方正小标宋简体"/>
          <w:b w:val="0"/>
          <w:bCs/>
          <w:sz w:val="44"/>
          <w:szCs w:val="44"/>
          <w:lang w:val="en-US" w:eastAsia="zh-CN"/>
        </w:rPr>
      </w:pPr>
    </w:p>
    <w:p w14:paraId="5CAD8F58">
      <w:pPr>
        <w:rPr>
          <w:rFonts w:hint="eastAsia" w:ascii="方正小标宋简体" w:hAnsi="方正小标宋简体" w:eastAsia="方正小标宋简体" w:cs="方正小标宋简体"/>
          <w:b w:val="0"/>
          <w:bCs/>
          <w:sz w:val="44"/>
          <w:szCs w:val="44"/>
          <w:lang w:val="en-US" w:eastAsia="zh-CN"/>
        </w:rPr>
      </w:pPr>
    </w:p>
    <w:p w14:paraId="06E3920A">
      <w:pPr>
        <w:rPr>
          <w:rFonts w:hint="eastAsia" w:ascii="方正小标宋简体" w:hAnsi="方正小标宋简体" w:eastAsia="方正小标宋简体" w:cs="方正小标宋简体"/>
          <w:b w:val="0"/>
          <w:bCs/>
          <w:sz w:val="44"/>
          <w:szCs w:val="44"/>
          <w:lang w:val="en-US" w:eastAsia="zh-CN"/>
        </w:rPr>
      </w:pPr>
    </w:p>
    <w:p w14:paraId="48FF6909">
      <w:pPr>
        <w:rPr>
          <w:rFonts w:hint="eastAsia" w:ascii="方正小标宋简体" w:hAnsi="方正小标宋简体" w:eastAsia="方正小标宋简体" w:cs="方正小标宋简体"/>
          <w:b w:val="0"/>
          <w:bCs/>
          <w:sz w:val="44"/>
          <w:szCs w:val="44"/>
          <w:lang w:val="en-US" w:eastAsia="zh-CN"/>
        </w:rPr>
      </w:pPr>
    </w:p>
    <w:p w14:paraId="075FCA98">
      <w:pPr>
        <w:rPr>
          <w:rFonts w:hint="eastAsia" w:ascii="方正小标宋简体" w:hAnsi="方正小标宋简体" w:eastAsia="方正小标宋简体" w:cs="方正小标宋简体"/>
          <w:b w:val="0"/>
          <w:bCs/>
          <w:sz w:val="44"/>
          <w:szCs w:val="44"/>
          <w:lang w:val="en-US" w:eastAsia="zh-CN"/>
        </w:rPr>
      </w:pPr>
    </w:p>
    <w:p w14:paraId="3CC176F2">
      <w:pPr>
        <w:pStyle w:val="2"/>
        <w:keepLines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第</w:t>
      </w:r>
      <w:r>
        <w:rPr>
          <w:rFonts w:hint="eastAsia" w:ascii="方正小标宋简体" w:hAnsi="方正小标宋简体" w:eastAsia="方正小标宋简体" w:cs="方正小标宋简体"/>
          <w:b w:val="0"/>
          <w:bCs/>
          <w:sz w:val="44"/>
          <w:szCs w:val="44"/>
        </w:rPr>
        <w:t>三部分  名词解释</w:t>
      </w:r>
      <w:bookmarkEnd w:id="13"/>
    </w:p>
    <w:p w14:paraId="72C08722">
      <w:pPr>
        <w:spacing w:line="600" w:lineRule="exact"/>
        <w:ind w:firstLine="643" w:firstLineChars="200"/>
        <w:rPr>
          <w:rFonts w:hint="eastAsia" w:ascii="仿宋_GB2312" w:hAnsi="仿宋_GB2312" w:eastAsia="仿宋_GB2312" w:cs="仿宋_GB2312"/>
          <w:b/>
          <w:bCs/>
          <w:sz w:val="32"/>
          <w:szCs w:val="32"/>
        </w:rPr>
      </w:pPr>
    </w:p>
    <w:p w14:paraId="52D3FD6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1.部门预算。</w:t>
      </w:r>
      <w:r>
        <w:rPr>
          <w:rFonts w:hint="eastAsia" w:ascii="仿宋_GB2312" w:hAnsi="仿宋_GB2312" w:eastAsia="仿宋_GB2312" w:cs="仿宋_GB2312"/>
          <w:sz w:val="32"/>
          <w:szCs w:val="32"/>
        </w:rPr>
        <w:t>是指主管预算部门依据相关法律、法规和政策规定及其行使职能需要，组织所属预算单位编制并逐级上报、审核、汇总，经财政部门审核后按程序依法批准的部门综合收支计划。</w:t>
      </w:r>
    </w:p>
    <w:p w14:paraId="4A1D76E8">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 机关运行经费。</w:t>
      </w:r>
      <w:r>
        <w:rPr>
          <w:rFonts w:hint="eastAsia" w:ascii="仿宋_GB2312" w:hAnsi="仿宋_GB2312" w:eastAsia="仿宋_GB2312" w:cs="仿宋_GB2312"/>
          <w:sz w:val="32"/>
          <w:szCs w:val="32"/>
        </w:rPr>
        <w:t>是指本单位公用经费，包括办公费及印刷费、手续费、水费、邮电费、差旅费、维修费、会议费、培训费、委托业务费、公务接待费、其他交通费用、其他商品和服务费、专用材料及一般设备购置费。</w:t>
      </w:r>
    </w:p>
    <w:p w14:paraId="3534873A">
      <w:pPr>
        <w:spacing w:line="580" w:lineRule="exact"/>
        <w:ind w:firstLine="600" w:firstLineChars="200"/>
        <w:rPr>
          <w:rFonts w:hint="eastAsia" w:eastAsia="楷体_GB2312"/>
          <w:sz w:val="30"/>
          <w:szCs w:val="30"/>
        </w:rPr>
      </w:pPr>
    </w:p>
    <w:p w14:paraId="37819427">
      <w:pPr>
        <w:spacing w:line="580" w:lineRule="exact"/>
        <w:ind w:firstLine="600" w:firstLineChars="200"/>
        <w:rPr>
          <w:rFonts w:hint="eastAsia" w:eastAsia="楷体_GB2312"/>
          <w:sz w:val="30"/>
          <w:szCs w:val="30"/>
        </w:rPr>
      </w:pPr>
    </w:p>
    <w:p w14:paraId="10C111BD">
      <w:pPr>
        <w:spacing w:line="580" w:lineRule="exact"/>
        <w:ind w:firstLine="600" w:firstLineChars="200"/>
        <w:rPr>
          <w:rFonts w:hint="eastAsia" w:eastAsia="楷体_GB2312"/>
          <w:sz w:val="30"/>
          <w:szCs w:val="30"/>
        </w:rPr>
      </w:pPr>
    </w:p>
    <w:p w14:paraId="5D196A65">
      <w:pPr>
        <w:spacing w:line="580" w:lineRule="exact"/>
        <w:ind w:firstLine="600" w:firstLineChars="200"/>
        <w:rPr>
          <w:rFonts w:hint="eastAsia" w:eastAsia="楷体_GB2312"/>
          <w:sz w:val="30"/>
          <w:szCs w:val="30"/>
        </w:rPr>
      </w:pPr>
    </w:p>
    <w:p w14:paraId="6D4CAAD2">
      <w:pPr>
        <w:spacing w:line="580" w:lineRule="exact"/>
        <w:ind w:firstLine="600" w:firstLineChars="200"/>
        <w:rPr>
          <w:rFonts w:hint="eastAsia" w:eastAsia="楷体_GB2312"/>
          <w:sz w:val="30"/>
          <w:szCs w:val="30"/>
        </w:rPr>
      </w:pPr>
    </w:p>
    <w:p w14:paraId="598C8BE8">
      <w:pPr>
        <w:spacing w:line="580" w:lineRule="exact"/>
        <w:ind w:firstLine="600" w:firstLineChars="200"/>
        <w:rPr>
          <w:rFonts w:hint="eastAsia" w:eastAsia="楷体_GB2312"/>
          <w:sz w:val="30"/>
          <w:szCs w:val="30"/>
        </w:rPr>
      </w:pPr>
    </w:p>
    <w:p w14:paraId="749954E8">
      <w:pPr>
        <w:spacing w:line="580" w:lineRule="exact"/>
        <w:ind w:firstLine="600" w:firstLineChars="200"/>
        <w:rPr>
          <w:rFonts w:hint="eastAsia" w:eastAsia="楷体_GB2312"/>
          <w:sz w:val="30"/>
          <w:szCs w:val="30"/>
        </w:rPr>
      </w:pPr>
    </w:p>
    <w:p w14:paraId="0803FEEC">
      <w:pPr>
        <w:spacing w:line="580" w:lineRule="exact"/>
        <w:ind w:firstLine="600" w:firstLineChars="200"/>
        <w:rPr>
          <w:rFonts w:eastAsia="楷体_GB2312"/>
          <w:sz w:val="30"/>
          <w:szCs w:val="30"/>
        </w:rPr>
      </w:pPr>
    </w:p>
    <w:p w14:paraId="2DF773CB">
      <w:pPr>
        <w:spacing w:line="580" w:lineRule="exact"/>
        <w:ind w:firstLine="600" w:firstLineChars="200"/>
        <w:rPr>
          <w:rFonts w:eastAsia="楷体_GB2312"/>
          <w:sz w:val="30"/>
          <w:szCs w:val="30"/>
        </w:rPr>
      </w:pPr>
    </w:p>
    <w:p w14:paraId="25DEE739">
      <w:pPr>
        <w:pStyle w:val="2"/>
        <w:keepNext w:val="0"/>
        <w:keepLines w:val="0"/>
        <w:spacing w:line="600" w:lineRule="exact"/>
        <w:jc w:val="center"/>
        <w:rPr>
          <w:rFonts w:hint="eastAsia" w:ascii="方正小标宋简体" w:hAnsi="方正小标宋简体" w:eastAsia="方正小标宋简体" w:cs="方正小标宋简体"/>
          <w:b w:val="0"/>
          <w:sz w:val="48"/>
          <w:szCs w:val="48"/>
        </w:rPr>
      </w:pPr>
    </w:p>
    <w:p w14:paraId="2C40A1FA">
      <w:pPr>
        <w:pStyle w:val="2"/>
        <w:keepNext w:val="0"/>
        <w:keepLines w:val="0"/>
        <w:spacing w:line="600" w:lineRule="exact"/>
        <w:jc w:val="center"/>
        <w:rPr>
          <w:rFonts w:hint="eastAsia" w:ascii="方正小标宋简体" w:hAnsi="方正小标宋简体" w:eastAsia="方正小标宋简体" w:cs="方正小标宋简体"/>
          <w:b w:val="0"/>
          <w:sz w:val="48"/>
          <w:szCs w:val="48"/>
        </w:rPr>
      </w:pPr>
    </w:p>
    <w:p w14:paraId="3C428F1D">
      <w:pPr>
        <w:pStyle w:val="2"/>
        <w:keepNext w:val="0"/>
        <w:keepLines w:val="0"/>
        <w:spacing w:line="600" w:lineRule="exact"/>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第四部分  2025年部门预算表</w:t>
      </w:r>
    </w:p>
    <w:p w14:paraId="62A5E71B">
      <w:pPr>
        <w:keepNext w:val="0"/>
        <w:keepLines w:val="0"/>
        <w:pageBreakBefore w:val="0"/>
        <w:widowControl w:val="0"/>
        <w:kinsoku/>
        <w:wordWrap/>
        <w:overflowPunct/>
        <w:topLinePunct w:val="0"/>
        <w:autoSpaceDE/>
        <w:autoSpaceDN/>
        <w:bidi w:val="0"/>
        <w:adjustRightInd w:val="0"/>
        <w:snapToGrid/>
        <w:spacing w:line="560" w:lineRule="exact"/>
        <w:ind w:firstLine="633" w:firstLineChars="198"/>
        <w:textAlignment w:val="baseline"/>
        <w:rPr>
          <w:rFonts w:eastAsia="仿宋_GB2312"/>
          <w:sz w:val="32"/>
          <w:szCs w:val="32"/>
        </w:rPr>
      </w:pPr>
      <w:r>
        <w:rPr>
          <w:rFonts w:hint="eastAsia" w:eastAsia="仿宋_GB2312"/>
          <w:sz w:val="32"/>
          <w:szCs w:val="32"/>
        </w:rPr>
        <w:t>一、</w:t>
      </w:r>
      <w:r>
        <w:rPr>
          <w:rFonts w:eastAsia="仿宋_GB2312"/>
          <w:sz w:val="32"/>
          <w:szCs w:val="32"/>
        </w:rPr>
        <w:t>2025年收支预算总表</w:t>
      </w:r>
    </w:p>
    <w:p w14:paraId="2BED86A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二、</w:t>
      </w:r>
      <w:r>
        <w:rPr>
          <w:rFonts w:eastAsia="仿宋_GB2312"/>
          <w:sz w:val="32"/>
          <w:szCs w:val="32"/>
        </w:rPr>
        <w:t>2025年收入预算总表</w:t>
      </w:r>
    </w:p>
    <w:p w14:paraId="6F3B108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三、</w:t>
      </w:r>
      <w:r>
        <w:rPr>
          <w:rFonts w:eastAsia="仿宋_GB2312"/>
          <w:sz w:val="32"/>
          <w:szCs w:val="32"/>
        </w:rPr>
        <w:t>2025年支出预算总表</w:t>
      </w:r>
    </w:p>
    <w:p w14:paraId="593F053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四、</w:t>
      </w:r>
      <w:r>
        <w:rPr>
          <w:rFonts w:eastAsia="仿宋_GB2312"/>
          <w:sz w:val="32"/>
          <w:szCs w:val="32"/>
        </w:rPr>
        <w:t>2025年财政拨款收支预算总表</w:t>
      </w:r>
    </w:p>
    <w:p w14:paraId="45836D6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五、</w:t>
      </w:r>
      <w:r>
        <w:rPr>
          <w:rFonts w:eastAsia="仿宋_GB2312"/>
          <w:sz w:val="32"/>
          <w:szCs w:val="32"/>
        </w:rPr>
        <w:t>2025年财政拨款一般公共预算支出预算表</w:t>
      </w:r>
    </w:p>
    <w:p w14:paraId="6BCF7C6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六、</w:t>
      </w:r>
      <w:r>
        <w:rPr>
          <w:rFonts w:eastAsia="仿宋_GB2312"/>
          <w:sz w:val="32"/>
          <w:szCs w:val="32"/>
        </w:rPr>
        <w:t>2025年财政拨款一般公共预算基本支出预算表</w:t>
      </w:r>
    </w:p>
    <w:p w14:paraId="739586F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七、2025年财政拨款一般公共预算“三公”经费支出预算表</w:t>
      </w:r>
    </w:p>
    <w:p w14:paraId="4464B41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八、</w:t>
      </w:r>
      <w:r>
        <w:rPr>
          <w:rFonts w:eastAsia="仿宋_GB2312"/>
          <w:sz w:val="32"/>
          <w:szCs w:val="32"/>
        </w:rPr>
        <w:t>2025年财政拨款政府性基金预算支出预算表</w:t>
      </w:r>
    </w:p>
    <w:p w14:paraId="483BD80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九、2025年国有资本经营预算支出预算表</w:t>
      </w:r>
    </w:p>
    <w:p w14:paraId="7878E93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十、</w:t>
      </w:r>
      <w:r>
        <w:rPr>
          <w:rFonts w:eastAsia="仿宋_GB2312"/>
          <w:sz w:val="32"/>
          <w:szCs w:val="32"/>
        </w:rPr>
        <w:t>2025年项目支出预算表</w:t>
      </w:r>
    </w:p>
    <w:p w14:paraId="556F87F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sz w:val="32"/>
          <w:szCs w:val="32"/>
        </w:rPr>
      </w:pPr>
      <w:r>
        <w:rPr>
          <w:rFonts w:hint="eastAsia" w:eastAsia="仿宋_GB2312"/>
          <w:sz w:val="32"/>
          <w:szCs w:val="32"/>
        </w:rPr>
        <w:t>十一、</w:t>
      </w:r>
      <w:r>
        <w:rPr>
          <w:rFonts w:eastAsia="仿宋_GB2312"/>
          <w:sz w:val="32"/>
          <w:szCs w:val="32"/>
        </w:rPr>
        <w:t>2025年财政拨款政府采购预算表</w:t>
      </w:r>
    </w:p>
    <w:p w14:paraId="4B00DB30">
      <w:pPr>
        <w:keepNext w:val="0"/>
        <w:keepLines w:val="0"/>
        <w:pageBreakBefore w:val="0"/>
        <w:widowControl w:val="0"/>
        <w:kinsoku/>
        <w:wordWrap/>
        <w:overflowPunct/>
        <w:topLinePunct w:val="0"/>
        <w:autoSpaceDE/>
        <w:autoSpaceDN/>
        <w:bidi w:val="0"/>
        <w:adjustRightInd w:val="0"/>
        <w:snapToGrid/>
        <w:spacing w:line="560" w:lineRule="exact"/>
        <w:ind w:left="480" w:leftChars="200" w:firstLine="156" w:firstLineChars="49"/>
        <w:textAlignment w:val="baseline"/>
        <w:rPr>
          <w:rFonts w:hint="eastAsia" w:eastAsia="仿宋_GB2312"/>
          <w:sz w:val="32"/>
          <w:szCs w:val="32"/>
        </w:rPr>
      </w:pPr>
      <w:r>
        <w:rPr>
          <w:rFonts w:hint="eastAsia" w:eastAsia="仿宋_GB2312"/>
          <w:sz w:val="32"/>
          <w:szCs w:val="32"/>
        </w:rPr>
        <w:t>十二、关于空表的说明</w:t>
      </w:r>
      <w:r>
        <w:rPr>
          <w:rFonts w:hint="eastAsia" w:eastAsia="仿宋_GB2312"/>
          <w:sz w:val="32"/>
          <w:szCs w:val="32"/>
        </w:rPr>
        <w:tab/>
      </w:r>
    </w:p>
    <w:p w14:paraId="4B9F8C4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color w:val="000000"/>
          <w:sz w:val="32"/>
          <w:szCs w:val="32"/>
        </w:rPr>
      </w:pPr>
      <w:r>
        <w:rPr>
          <w:rFonts w:hint="eastAsia" w:eastAsia="仿宋_GB2312"/>
          <w:color w:val="000000"/>
          <w:sz w:val="32"/>
          <w:szCs w:val="32"/>
          <w:lang w:val="en-US" w:eastAsia="zh-CN"/>
        </w:rPr>
        <w:t>1.</w:t>
      </w:r>
      <w:r>
        <w:rPr>
          <w:rFonts w:hint="eastAsia" w:eastAsia="仿宋_GB2312"/>
          <w:color w:val="000000"/>
          <w:sz w:val="32"/>
          <w:szCs w:val="32"/>
        </w:rPr>
        <w:t>本部门</w:t>
      </w:r>
      <w:r>
        <w:rPr>
          <w:rFonts w:eastAsia="仿宋_GB2312"/>
          <w:color w:val="000000"/>
          <w:sz w:val="32"/>
          <w:szCs w:val="32"/>
        </w:rPr>
        <w:t>2025年</w:t>
      </w:r>
      <w:r>
        <w:rPr>
          <w:rFonts w:hint="eastAsia" w:eastAsia="仿宋_GB2312"/>
          <w:color w:val="000000"/>
          <w:sz w:val="32"/>
          <w:szCs w:val="32"/>
        </w:rPr>
        <w:t>政府性基金预算支出情况表为空表。</w:t>
      </w:r>
    </w:p>
    <w:p w14:paraId="4489363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eastAsia="仿宋_GB2312"/>
          <w:color w:val="000000"/>
          <w:sz w:val="32"/>
          <w:szCs w:val="32"/>
        </w:rPr>
      </w:pPr>
      <w:r>
        <w:rPr>
          <w:rFonts w:hint="eastAsia" w:eastAsia="仿宋_GB2312"/>
          <w:color w:val="000000"/>
          <w:sz w:val="32"/>
          <w:szCs w:val="32"/>
          <w:lang w:val="en-US" w:eastAsia="zh-CN"/>
        </w:rPr>
        <w:t>2.</w:t>
      </w:r>
      <w:r>
        <w:rPr>
          <w:rFonts w:hint="eastAsia" w:eastAsia="仿宋_GB2312"/>
          <w:color w:val="000000"/>
          <w:sz w:val="32"/>
          <w:szCs w:val="32"/>
        </w:rPr>
        <w:t>本部门</w:t>
      </w:r>
      <w:r>
        <w:rPr>
          <w:rFonts w:eastAsia="仿宋_GB2312"/>
          <w:color w:val="000000"/>
          <w:sz w:val="32"/>
          <w:szCs w:val="32"/>
        </w:rPr>
        <w:t>2025年</w:t>
      </w:r>
      <w:r>
        <w:rPr>
          <w:rFonts w:hint="eastAsia" w:eastAsia="仿宋_GB2312"/>
          <w:color w:val="000000"/>
          <w:sz w:val="32"/>
          <w:szCs w:val="32"/>
        </w:rPr>
        <w:t>国有资本经营预算支出情况表为空表。</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DEE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F09B">
    <w:pPr>
      <w:pStyle w:val="6"/>
      <w:framePr w:wrap="around" w:vAnchor="text" w:hAnchor="margin" w:xAlign="outside" w:y="1"/>
      <w:rPr>
        <w:rStyle w:val="11"/>
      </w:rPr>
    </w:pPr>
    <w:r>
      <w:fldChar w:fldCharType="begin"/>
    </w:r>
    <w:r>
      <w:rPr>
        <w:rStyle w:val="11"/>
      </w:rPr>
      <w:instrText xml:space="preserve">PAGE  </w:instrText>
    </w:r>
    <w:r>
      <w:fldChar w:fldCharType="end"/>
    </w:r>
  </w:p>
  <w:p w14:paraId="7DDEEEA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270E">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11061F0E">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7C07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2D48"/>
    <w:rsid w:val="00014B7E"/>
    <w:rsid w:val="00020DAE"/>
    <w:rsid w:val="00025DCF"/>
    <w:rsid w:val="00026B49"/>
    <w:rsid w:val="000279BC"/>
    <w:rsid w:val="00035889"/>
    <w:rsid w:val="0003736F"/>
    <w:rsid w:val="00040A70"/>
    <w:rsid w:val="000546FB"/>
    <w:rsid w:val="00055156"/>
    <w:rsid w:val="000561F0"/>
    <w:rsid w:val="000638DE"/>
    <w:rsid w:val="00066DA5"/>
    <w:rsid w:val="00081133"/>
    <w:rsid w:val="00082771"/>
    <w:rsid w:val="00093F1A"/>
    <w:rsid w:val="00097C4D"/>
    <w:rsid w:val="000A4C45"/>
    <w:rsid w:val="000A6A5A"/>
    <w:rsid w:val="000A750A"/>
    <w:rsid w:val="000B1B04"/>
    <w:rsid w:val="000B5758"/>
    <w:rsid w:val="000C1D30"/>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0516"/>
    <w:rsid w:val="001616F8"/>
    <w:rsid w:val="001639E6"/>
    <w:rsid w:val="0016548E"/>
    <w:rsid w:val="00167781"/>
    <w:rsid w:val="00173D03"/>
    <w:rsid w:val="0017420B"/>
    <w:rsid w:val="001743A6"/>
    <w:rsid w:val="0019552B"/>
    <w:rsid w:val="001A1316"/>
    <w:rsid w:val="001A58F7"/>
    <w:rsid w:val="001B26CD"/>
    <w:rsid w:val="001B47FB"/>
    <w:rsid w:val="001C525C"/>
    <w:rsid w:val="001E4814"/>
    <w:rsid w:val="001F43D8"/>
    <w:rsid w:val="001F69BB"/>
    <w:rsid w:val="0020344E"/>
    <w:rsid w:val="00217977"/>
    <w:rsid w:val="00222775"/>
    <w:rsid w:val="00223D56"/>
    <w:rsid w:val="00225E9E"/>
    <w:rsid w:val="002319C9"/>
    <w:rsid w:val="00235DDA"/>
    <w:rsid w:val="00243A70"/>
    <w:rsid w:val="002456BF"/>
    <w:rsid w:val="00247B07"/>
    <w:rsid w:val="00252DD7"/>
    <w:rsid w:val="002568D5"/>
    <w:rsid w:val="0026664B"/>
    <w:rsid w:val="00275986"/>
    <w:rsid w:val="00290082"/>
    <w:rsid w:val="00290EAC"/>
    <w:rsid w:val="00293ACA"/>
    <w:rsid w:val="002A1782"/>
    <w:rsid w:val="002A23DC"/>
    <w:rsid w:val="002A3DBF"/>
    <w:rsid w:val="002D67AE"/>
    <w:rsid w:val="002D715E"/>
    <w:rsid w:val="002E3C02"/>
    <w:rsid w:val="002F0601"/>
    <w:rsid w:val="002F0F40"/>
    <w:rsid w:val="002F0F49"/>
    <w:rsid w:val="002F6622"/>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A77B0"/>
    <w:rsid w:val="004B0888"/>
    <w:rsid w:val="004C0EED"/>
    <w:rsid w:val="004C1F92"/>
    <w:rsid w:val="004C3B81"/>
    <w:rsid w:val="004D2A21"/>
    <w:rsid w:val="004E5901"/>
    <w:rsid w:val="004E7F96"/>
    <w:rsid w:val="004F1D8F"/>
    <w:rsid w:val="004F304B"/>
    <w:rsid w:val="00500E62"/>
    <w:rsid w:val="00507FC2"/>
    <w:rsid w:val="0051134F"/>
    <w:rsid w:val="00513E0C"/>
    <w:rsid w:val="00531F24"/>
    <w:rsid w:val="00534FC8"/>
    <w:rsid w:val="005442FD"/>
    <w:rsid w:val="00547CCA"/>
    <w:rsid w:val="0055334A"/>
    <w:rsid w:val="0056218D"/>
    <w:rsid w:val="00563DE0"/>
    <w:rsid w:val="00566B36"/>
    <w:rsid w:val="005717FD"/>
    <w:rsid w:val="00577762"/>
    <w:rsid w:val="00580FFE"/>
    <w:rsid w:val="00585D27"/>
    <w:rsid w:val="0058731A"/>
    <w:rsid w:val="00587691"/>
    <w:rsid w:val="0059010F"/>
    <w:rsid w:val="0059248B"/>
    <w:rsid w:val="00595115"/>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317F"/>
    <w:rsid w:val="006A57EE"/>
    <w:rsid w:val="006A7042"/>
    <w:rsid w:val="006A7123"/>
    <w:rsid w:val="006B0F4B"/>
    <w:rsid w:val="006D456D"/>
    <w:rsid w:val="006D7313"/>
    <w:rsid w:val="006E5C14"/>
    <w:rsid w:val="006F408B"/>
    <w:rsid w:val="00703777"/>
    <w:rsid w:val="00716804"/>
    <w:rsid w:val="00737A20"/>
    <w:rsid w:val="0074381E"/>
    <w:rsid w:val="00754417"/>
    <w:rsid w:val="0078521D"/>
    <w:rsid w:val="00795DC2"/>
    <w:rsid w:val="007A5596"/>
    <w:rsid w:val="007B750A"/>
    <w:rsid w:val="007C0CD1"/>
    <w:rsid w:val="007C220B"/>
    <w:rsid w:val="007C257B"/>
    <w:rsid w:val="007C27C2"/>
    <w:rsid w:val="007C4FF4"/>
    <w:rsid w:val="007C5704"/>
    <w:rsid w:val="007E011D"/>
    <w:rsid w:val="007E0D5B"/>
    <w:rsid w:val="007E2276"/>
    <w:rsid w:val="007F0C3B"/>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1709C"/>
    <w:rsid w:val="009224E2"/>
    <w:rsid w:val="00922C71"/>
    <w:rsid w:val="00931ADF"/>
    <w:rsid w:val="009339F5"/>
    <w:rsid w:val="00933DD8"/>
    <w:rsid w:val="00934F3E"/>
    <w:rsid w:val="00937D77"/>
    <w:rsid w:val="00944267"/>
    <w:rsid w:val="00946BC0"/>
    <w:rsid w:val="00951511"/>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1B34"/>
    <w:rsid w:val="00A82A7D"/>
    <w:rsid w:val="00A8708A"/>
    <w:rsid w:val="00A918A4"/>
    <w:rsid w:val="00A91C28"/>
    <w:rsid w:val="00A96D04"/>
    <w:rsid w:val="00AB093E"/>
    <w:rsid w:val="00AB385B"/>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5771C"/>
    <w:rsid w:val="00B66FA2"/>
    <w:rsid w:val="00B73DE5"/>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27"/>
    <w:rsid w:val="00C378B1"/>
    <w:rsid w:val="00C435D4"/>
    <w:rsid w:val="00C50520"/>
    <w:rsid w:val="00C63085"/>
    <w:rsid w:val="00C64EC0"/>
    <w:rsid w:val="00C70269"/>
    <w:rsid w:val="00C73CFA"/>
    <w:rsid w:val="00C77359"/>
    <w:rsid w:val="00C8411D"/>
    <w:rsid w:val="00C84F06"/>
    <w:rsid w:val="00C96C5A"/>
    <w:rsid w:val="00CA1B19"/>
    <w:rsid w:val="00CA1BC8"/>
    <w:rsid w:val="00CA68E2"/>
    <w:rsid w:val="00CB0036"/>
    <w:rsid w:val="00CB119F"/>
    <w:rsid w:val="00CC066C"/>
    <w:rsid w:val="00CE05B1"/>
    <w:rsid w:val="00CE5A0A"/>
    <w:rsid w:val="00CE6EAE"/>
    <w:rsid w:val="00CE7964"/>
    <w:rsid w:val="00CE7AC9"/>
    <w:rsid w:val="00CE7B3E"/>
    <w:rsid w:val="00CF3C5E"/>
    <w:rsid w:val="00CF57E8"/>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0F72"/>
    <w:rsid w:val="00DF2103"/>
    <w:rsid w:val="00DF4EF1"/>
    <w:rsid w:val="00DF6570"/>
    <w:rsid w:val="00E01833"/>
    <w:rsid w:val="00E27103"/>
    <w:rsid w:val="00E37F65"/>
    <w:rsid w:val="00E407D2"/>
    <w:rsid w:val="00E51564"/>
    <w:rsid w:val="00E62551"/>
    <w:rsid w:val="00E6262F"/>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25A529E"/>
    <w:rsid w:val="07A61253"/>
    <w:rsid w:val="087846CF"/>
    <w:rsid w:val="089D0F1B"/>
    <w:rsid w:val="0B442ECB"/>
    <w:rsid w:val="0BA651FA"/>
    <w:rsid w:val="0C3B6140"/>
    <w:rsid w:val="0DCA698C"/>
    <w:rsid w:val="0F2D484E"/>
    <w:rsid w:val="0FBF2BE4"/>
    <w:rsid w:val="0FE27846"/>
    <w:rsid w:val="1C623275"/>
    <w:rsid w:val="1D681DEC"/>
    <w:rsid w:val="1F1501C8"/>
    <w:rsid w:val="1F465A53"/>
    <w:rsid w:val="20400B1B"/>
    <w:rsid w:val="21FC3824"/>
    <w:rsid w:val="22704963"/>
    <w:rsid w:val="25B20B26"/>
    <w:rsid w:val="25B53CA1"/>
    <w:rsid w:val="265C4A62"/>
    <w:rsid w:val="268758BC"/>
    <w:rsid w:val="27992FAE"/>
    <w:rsid w:val="28C96317"/>
    <w:rsid w:val="2919115F"/>
    <w:rsid w:val="298953D4"/>
    <w:rsid w:val="2A8B2C4B"/>
    <w:rsid w:val="2B560404"/>
    <w:rsid w:val="2B9121A6"/>
    <w:rsid w:val="334C1B29"/>
    <w:rsid w:val="33774058"/>
    <w:rsid w:val="33C278A7"/>
    <w:rsid w:val="341B03E2"/>
    <w:rsid w:val="3557428F"/>
    <w:rsid w:val="369D111E"/>
    <w:rsid w:val="3A226AA5"/>
    <w:rsid w:val="3C30439E"/>
    <w:rsid w:val="3D407E3C"/>
    <w:rsid w:val="3FAC590D"/>
    <w:rsid w:val="3FCB28EB"/>
    <w:rsid w:val="40956B0D"/>
    <w:rsid w:val="4752317F"/>
    <w:rsid w:val="48C657AA"/>
    <w:rsid w:val="4BA82754"/>
    <w:rsid w:val="4BBE1E3E"/>
    <w:rsid w:val="4BBF2DD2"/>
    <w:rsid w:val="4D8F0637"/>
    <w:rsid w:val="4DE535FF"/>
    <w:rsid w:val="4E1E02D7"/>
    <w:rsid w:val="4EA24B46"/>
    <w:rsid w:val="4F204931"/>
    <w:rsid w:val="5211507B"/>
    <w:rsid w:val="53EB5322"/>
    <w:rsid w:val="550979AB"/>
    <w:rsid w:val="576578D9"/>
    <w:rsid w:val="58077317"/>
    <w:rsid w:val="5BB02907"/>
    <w:rsid w:val="5C2168F7"/>
    <w:rsid w:val="5D3D6D9F"/>
    <w:rsid w:val="5F1353BD"/>
    <w:rsid w:val="5F930CBD"/>
    <w:rsid w:val="620E395C"/>
    <w:rsid w:val="6235772E"/>
    <w:rsid w:val="637A30A6"/>
    <w:rsid w:val="66EB6D02"/>
    <w:rsid w:val="693A5856"/>
    <w:rsid w:val="69A2427D"/>
    <w:rsid w:val="69C86AD4"/>
    <w:rsid w:val="6A2D5246"/>
    <w:rsid w:val="6CCE1548"/>
    <w:rsid w:val="6D1024CB"/>
    <w:rsid w:val="6E4271BE"/>
    <w:rsid w:val="6EF235B1"/>
    <w:rsid w:val="6FC21F63"/>
    <w:rsid w:val="73A82400"/>
    <w:rsid w:val="748F20DD"/>
    <w:rsid w:val="75027189"/>
    <w:rsid w:val="7513095E"/>
    <w:rsid w:val="76BE16D4"/>
    <w:rsid w:val="77EFDD89"/>
    <w:rsid w:val="78B84449"/>
    <w:rsid w:val="7BD05B58"/>
    <w:rsid w:val="7C793FC0"/>
    <w:rsid w:val="7DA05B77"/>
    <w:rsid w:val="7ECE503D"/>
    <w:rsid w:val="7EEC1DCB"/>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5"/>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标题 1 Char"/>
    <w:link w:val="2"/>
    <w:qFormat/>
    <w:uiPriority w:val="9"/>
    <w:rPr>
      <w:rFonts w:ascii="Times New Roman" w:hAnsi="Times New Roman"/>
      <w:b/>
      <w:bCs/>
      <w:kern w:val="44"/>
      <w:sz w:val="44"/>
      <w:szCs w:val="44"/>
    </w:rPr>
  </w:style>
  <w:style w:type="character" w:customStyle="1" w:styleId="13">
    <w:name w:val="标题 2 Char"/>
    <w:link w:val="3"/>
    <w:qFormat/>
    <w:uiPriority w:val="9"/>
    <w:rPr>
      <w:rFonts w:ascii="Cambria" w:hAnsi="Cambria"/>
      <w:b/>
      <w:bCs/>
      <w:sz w:val="32"/>
      <w:szCs w:val="32"/>
    </w:rPr>
  </w:style>
  <w:style w:type="character" w:customStyle="1" w:styleId="14">
    <w:name w:val="批注框文本 Char"/>
    <w:link w:val="5"/>
    <w:qFormat/>
    <w:uiPriority w:val="0"/>
    <w:rPr>
      <w:sz w:val="18"/>
      <w:szCs w:val="18"/>
    </w:rPr>
  </w:style>
  <w:style w:type="character" w:customStyle="1" w:styleId="15">
    <w:name w:val="页脚 Char"/>
    <w:link w:val="6"/>
    <w:qFormat/>
    <w:uiPriority w:val="99"/>
    <w:rPr>
      <w:sz w:val="18"/>
      <w:szCs w:val="18"/>
    </w:rPr>
  </w:style>
  <w:style w:type="paragraph" w:customStyle="1" w:styleId="16">
    <w:name w:val="Char Char"/>
    <w:basedOn w:val="4"/>
    <w:qFormat/>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49</Words>
  <Characters>52</Characters>
  <Lines>34</Lines>
  <Paragraphs>9</Paragraphs>
  <TotalTime>22</TotalTime>
  <ScaleCrop>false</ScaleCrop>
  <LinksUpToDate>false</LinksUpToDate>
  <CharactersWithSpaces>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2024-02-23T09:39:00Z</dcterms:created>
  <dc:creator>朱春礼</dc:creator>
  <cp:lastModifiedBy>dell</cp:lastModifiedBy>
  <cp:lastPrinted>2025-02-06T06:42:00Z</cp:lastPrinted>
  <dcterms:modified xsi:type="dcterms:W3CDTF">2025-02-13T02:01:33Z</dcterms:modified>
  <dc:title>附件1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eyJoZGlkIjoiMWU5MGU5NGJlZDIyMzUyNmFkNWM3NDFhOTZmYjdkY2IifQ==</vt:lpwstr>
  </property>
  <property fmtid="{D5CDD505-2E9C-101B-9397-08002B2CF9AE}" pid="4" name="ICV">
    <vt:lpwstr>A318670BE15B4B5AB1337325E9DAF6E3_13</vt:lpwstr>
  </property>
</Properties>
</file>