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5CDB9">
      <w:pPr>
        <w:adjustRightInd w:val="0"/>
        <w:spacing w:line="600" w:lineRule="exact"/>
        <w:textAlignment w:val="baseline"/>
        <w:rPr>
          <w:rFonts w:ascii="黑体" w:hAnsi="Times New Roman" w:eastAsia="黑体" w:cs="Times New Roman"/>
          <w:w w:val="95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w w:val="95"/>
          <w:kern w:val="0"/>
          <w:sz w:val="32"/>
          <w:szCs w:val="32"/>
        </w:rPr>
        <w:t>附件11</w:t>
      </w:r>
    </w:p>
    <w:p w14:paraId="70B98DBB">
      <w:pPr>
        <w:adjustRightInd w:val="0"/>
        <w:spacing w:line="600" w:lineRule="exact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</w:p>
    <w:p w14:paraId="68F8288E">
      <w:pPr>
        <w:adjustRightInd w:val="0"/>
        <w:spacing w:line="600" w:lineRule="exact"/>
        <w:jc w:val="center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天津经济技术开发区总工会2021年部门预算</w:t>
      </w:r>
    </w:p>
    <w:p w14:paraId="65AFD75B">
      <w:pPr>
        <w:adjustRightInd w:val="0"/>
        <w:spacing w:line="600" w:lineRule="exact"/>
        <w:jc w:val="center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编制说明</w:t>
      </w:r>
    </w:p>
    <w:p w14:paraId="5CFA1230">
      <w:pPr>
        <w:adjustRightInd w:val="0"/>
        <w:spacing w:line="600" w:lineRule="exact"/>
        <w:jc w:val="left"/>
        <w:textAlignment w:val="baseline"/>
        <w:rPr>
          <w:rFonts w:ascii="黑体" w:hAnsi="Times New Roman" w:eastAsia="黑体" w:cs="Times New Roman"/>
          <w:kern w:val="0"/>
          <w:sz w:val="30"/>
          <w:szCs w:val="30"/>
        </w:rPr>
      </w:pPr>
    </w:p>
    <w:p w14:paraId="4EB5CE68"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 w14:paraId="2261321F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（一）推进企业工会组建和换届指导工作、基层工会管理工作以及基层工会干部队伍的建设工作。大力推进职工服务中心、“职工之家”、“职工小家”等工会服务载体建设，为职工提供一站式便捷服务。</w:t>
      </w:r>
    </w:p>
    <w:p w14:paraId="64CF5A6B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二）推进职工合法权益维护工作，参与开发区劳动和社会保障政策制定与修改，建立健全劳动争议预防、预警、调处机制，推进企业内部构建劳动关系协调机制，受理职工投诉以及普及宣传劳动法律法规等，促进区域劳动关系和谐稳定。</w:t>
      </w:r>
    </w:p>
    <w:p w14:paraId="302962BC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三）推进产业工人队伍建设，组织职工开展以技术创新为主要内容的劳动竞赛和合理化建议、技术革新活动，广泛选树“泰达工匠”、创新人才、劳模等先进人物，动员广大职工围绕中心，服务大局，努力为企业发展和区域建设建功立业。</w:t>
      </w:r>
    </w:p>
    <w:p w14:paraId="23531D5D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（四）推进职工素质提升工程，包括职工思想引领和精神文明建设、职工社团文化引领、各类技能素质培训等，不断加大职工思想宣传工作，建设有理想、有道德、有文化、有纪律的高素质职工队伍。</w:t>
      </w:r>
    </w:p>
    <w:p w14:paraId="79D4DC12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（五）推进女职工委员会工作，包括女职工维权、素质培训、技能竞赛、思想文化引领、普法宣传、困难帮扶、“宝宝储粮室”创建等方面，实现女职工在政治、经济、教育、健康等领域新的进步与发展。</w:t>
      </w:r>
    </w:p>
    <w:p w14:paraId="49743BAA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六）推进人文关怀工作，切实关心关爱职工生活。通过开展困难职工帮扶、劳模慰问、冬日送温暖、暑期送清凉、心理健康服务等，办实事、求实效、送温暖，实现人文关怀的长效化和精准化，使广大职工感受到工会组织的温度和热度。</w:t>
      </w:r>
    </w:p>
    <w:p w14:paraId="564FD43A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七）推进工会自身建设。加强工会经费的独立管理，做好工会经费的“收、管、用”和经费审查工作，对基层工会财务工作进行政策指导和审计监督；依托网站、微信、刊物和新闻媒体，多渠道做好工会宣传工作，提升工会组织影响力。</w:t>
      </w:r>
    </w:p>
    <w:p w14:paraId="2653CDCE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八）推进青年相关工作。加强共青团基层组织建设和管理，服务青年成长成才。加强区域青年思想引导，维护青年权益，组织开展各项青年活动和志愿者公益活动。推进青年创新创业工作，实施青年人才开发和创新创业。开展少先队工作，举办各类少儿文体活动等。</w:t>
      </w:r>
    </w:p>
    <w:p w14:paraId="3000095B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九）开展妇女儿童工作。推进基层妇联组织阵地建设，加强对女性的思想引领、舆论推动、精神激励和文化支撑等宣教工作。组织实施妇女干部培训，开展女性创业就业、巾帼公益行动及各项评优工作表彰等工作。联络各族各界妇女、港澳台女同胞、海外女侨胞及有关社会团体的交流交往工作。做好妇女儿童权益维护工作。</w:t>
      </w:r>
    </w:p>
    <w:p w14:paraId="681F0B81">
      <w:pPr>
        <w:spacing w:line="588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0"/>
          <w:szCs w:val="30"/>
        </w:rPr>
        <w:t>（十）</w:t>
      </w:r>
      <w:r>
        <w:rPr>
          <w:rFonts w:hint="eastAsia" w:ascii="仿宋_GB2312" w:hAnsi="Times New Roman" w:eastAsia="仿宋_GB2312" w:cs="Times New Roman"/>
          <w:sz w:val="30"/>
          <w:szCs w:val="30"/>
        </w:rPr>
        <w:t>负责本领域安全生产管理工作。</w:t>
      </w:r>
    </w:p>
    <w:p w14:paraId="19C1B4D0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（十一）贯彻落实本部门全面从严治党主体责任，严格落实基层党建工作任务，发挥党组织战斗堡垒作用和党员先锋模范作用。</w:t>
      </w:r>
    </w:p>
    <w:p w14:paraId="6D832236">
      <w:pPr>
        <w:spacing w:line="588" w:lineRule="exact"/>
        <w:ind w:firstLine="600" w:firstLineChars="200"/>
        <w:rPr>
          <w:rFonts w:ascii="仿宋_GB2312" w:hAnsi="仿宋" w:eastAsia="仿宋_GB2312" w:cs="仿宋_GB2312"/>
          <w:color w:val="000000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（十二）承办党委、管委会交办的其他事项。</w:t>
      </w:r>
    </w:p>
    <w:p w14:paraId="130CBC13">
      <w:pPr>
        <w:numPr>
          <w:ilvl w:val="0"/>
          <w:numId w:val="1"/>
        </w:num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部门机构设置情况</w:t>
      </w:r>
    </w:p>
    <w:p w14:paraId="68453D79">
      <w:pPr>
        <w:spacing w:line="6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天津经济技术开发区总工会</w:t>
      </w:r>
      <w:r>
        <w:rPr>
          <w:rFonts w:ascii="仿宋_GB2312" w:eastAsia="仿宋_GB2312"/>
          <w:sz w:val="30"/>
          <w:szCs w:val="30"/>
        </w:rPr>
        <w:t xml:space="preserve">内设 </w:t>
      </w:r>
      <w:r>
        <w:rPr>
          <w:rFonts w:hint="eastAsia" w:ascii="仿宋_GB2312" w:eastAsia="仿宋_GB2312"/>
          <w:sz w:val="30"/>
          <w:szCs w:val="30"/>
        </w:rPr>
        <w:t>6</w:t>
      </w:r>
      <w:r>
        <w:rPr>
          <w:rFonts w:ascii="仿宋_GB2312" w:eastAsia="仿宋_GB2312"/>
          <w:sz w:val="30"/>
          <w:szCs w:val="30"/>
        </w:rPr>
        <w:t>个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科室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395C80C8"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 w14:paraId="76457EF7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 w14:paraId="6C5F7DE0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部门收入预算</w:t>
      </w:r>
      <w:r>
        <w:rPr>
          <w:rFonts w:hint="eastAsia" w:eastAsia="仿宋_GB2312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</w:rPr>
        <w:t>50.75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hint="eastAsia" w:eastAsia="仿宋_GB2312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</w:rPr>
        <w:t>50.75</w:t>
      </w:r>
      <w:r>
        <w:rPr>
          <w:rFonts w:eastAsia="仿宋_GB2312"/>
          <w:sz w:val="30"/>
          <w:szCs w:val="30"/>
        </w:rPr>
        <w:t>万元，包括</w:t>
      </w:r>
      <w:r>
        <w:rPr>
          <w:rFonts w:hint="eastAsia" w:eastAsia="仿宋_GB2312"/>
          <w:sz w:val="30"/>
          <w:szCs w:val="30"/>
        </w:rPr>
        <w:t>财政拨款预算收入</w:t>
      </w:r>
      <w:r>
        <w:rPr>
          <w:rFonts w:hint="eastAsia" w:eastAsia="仿宋_GB2312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非同级财政拨款预算收入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经营预算收入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投资预算收益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其他预算收入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万元。</w:t>
      </w:r>
    </w:p>
    <w:p w14:paraId="11CBFED0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 w14:paraId="3F48F508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部门支出预算</w:t>
      </w:r>
      <w:r>
        <w:rPr>
          <w:rFonts w:hint="eastAsia" w:eastAsia="仿宋_GB2312"/>
          <w:sz w:val="30"/>
          <w:szCs w:val="30"/>
          <w:u w:val="single"/>
        </w:rPr>
        <w:t>1380.85</w:t>
      </w:r>
      <w:r>
        <w:rPr>
          <w:rFonts w:hint="eastAsia" w:eastAsia="仿宋_GB2312"/>
          <w:sz w:val="30"/>
          <w:szCs w:val="30"/>
        </w:rPr>
        <w:t>万元，与2020年预算相比减少</w:t>
      </w:r>
      <w:r>
        <w:rPr>
          <w:rFonts w:hint="eastAsia" w:eastAsia="仿宋_GB2312"/>
          <w:sz w:val="30"/>
          <w:szCs w:val="30"/>
          <w:u w:val="single"/>
        </w:rPr>
        <w:t>50.75</w:t>
      </w:r>
      <w:r>
        <w:rPr>
          <w:rFonts w:hint="eastAsia" w:eastAsia="仿宋_GB2312"/>
          <w:sz w:val="30"/>
          <w:szCs w:val="30"/>
        </w:rPr>
        <w:t>万元，其中：</w:t>
      </w:r>
    </w:p>
    <w:p w14:paraId="6CCE5134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501科目支出</w:t>
      </w:r>
      <w:r>
        <w:rPr>
          <w:rFonts w:hint="eastAsia" w:eastAsia="仿宋_GB2312"/>
          <w:sz w:val="30"/>
          <w:szCs w:val="30"/>
          <w:u w:val="single"/>
        </w:rPr>
        <w:t>1290.1</w:t>
      </w:r>
      <w:r>
        <w:rPr>
          <w:rFonts w:hint="eastAsia" w:eastAsia="仿宋_GB2312"/>
          <w:sz w:val="30"/>
          <w:szCs w:val="30"/>
        </w:rPr>
        <w:t>万元，主要用于</w:t>
      </w:r>
      <w:r>
        <w:rPr>
          <w:rFonts w:hint="eastAsia" w:eastAsia="仿宋_GB2312"/>
          <w:sz w:val="30"/>
          <w:szCs w:val="30"/>
          <w:u w:val="single"/>
        </w:rPr>
        <w:t>机关工资福利支出</w:t>
      </w:r>
      <w:r>
        <w:rPr>
          <w:rFonts w:hint="eastAsia" w:eastAsia="仿宋_GB2312"/>
          <w:sz w:val="30"/>
          <w:szCs w:val="30"/>
        </w:rPr>
        <w:t>；</w:t>
      </w:r>
    </w:p>
    <w:p w14:paraId="2A15AFC6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502科目支出</w:t>
      </w:r>
      <w:r>
        <w:rPr>
          <w:rFonts w:hint="eastAsia" w:eastAsia="仿宋_GB2312"/>
          <w:sz w:val="30"/>
          <w:szCs w:val="30"/>
          <w:u w:val="single"/>
        </w:rPr>
        <w:t>90.75</w:t>
      </w:r>
      <w:r>
        <w:rPr>
          <w:rFonts w:hint="eastAsia" w:eastAsia="仿宋_GB2312"/>
          <w:sz w:val="30"/>
          <w:szCs w:val="30"/>
        </w:rPr>
        <w:t>万元，主要用于</w:t>
      </w:r>
      <w:r>
        <w:rPr>
          <w:rFonts w:hint="eastAsia" w:eastAsia="仿宋_GB2312"/>
          <w:sz w:val="30"/>
          <w:szCs w:val="30"/>
          <w:u w:val="single"/>
        </w:rPr>
        <w:t>机关商品服务支出。</w:t>
      </w:r>
    </w:p>
    <w:p w14:paraId="1BEB237D"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 w14:paraId="3C7A2898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 w14:paraId="763A380F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本部门20</w:t>
      </w:r>
      <w:r>
        <w:rPr>
          <w:rFonts w:hint="eastAsia" w:eastAsia="仿宋_GB2312"/>
          <w:sz w:val="30"/>
          <w:szCs w:val="30"/>
        </w:rPr>
        <w:t>21</w:t>
      </w:r>
      <w:r>
        <w:rPr>
          <w:rFonts w:eastAsia="仿宋_GB2312"/>
          <w:sz w:val="30"/>
          <w:szCs w:val="30"/>
        </w:rPr>
        <w:t>年安排机关运行经费预算</w:t>
      </w:r>
      <w:r>
        <w:rPr>
          <w:rFonts w:hint="eastAsia" w:eastAsia="仿宋_GB2312"/>
          <w:sz w:val="30"/>
          <w:szCs w:val="30"/>
          <w:u w:val="single"/>
        </w:rPr>
        <w:t>46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>
        <w:rPr>
          <w:rFonts w:hint="eastAsia" w:eastAsia="仿宋_GB2312"/>
          <w:sz w:val="30"/>
          <w:szCs w:val="30"/>
          <w:u w:val="single"/>
        </w:rPr>
        <w:t>14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差旅费</w:t>
      </w:r>
      <w:r>
        <w:rPr>
          <w:rFonts w:hint="eastAsia" w:eastAsia="仿宋_GB2312"/>
          <w:sz w:val="30"/>
          <w:szCs w:val="30"/>
          <w:u w:val="single"/>
        </w:rPr>
        <w:t>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、租赁费</w:t>
      </w:r>
      <w:r>
        <w:rPr>
          <w:rFonts w:hint="eastAsia" w:eastAsia="仿宋_GB2312"/>
          <w:sz w:val="30"/>
          <w:szCs w:val="30"/>
          <w:u w:val="single"/>
        </w:rPr>
        <w:t>10</w:t>
      </w:r>
      <w:r>
        <w:rPr>
          <w:rFonts w:hint="eastAsia" w:eastAsia="仿宋_GB2312"/>
          <w:sz w:val="30"/>
          <w:szCs w:val="30"/>
        </w:rPr>
        <w:t>万元、物业费</w:t>
      </w:r>
      <w:r>
        <w:rPr>
          <w:rFonts w:hint="eastAsia" w:eastAsia="仿宋_GB2312"/>
          <w:sz w:val="30"/>
          <w:szCs w:val="30"/>
          <w:u w:val="single"/>
        </w:rPr>
        <w:t>17</w:t>
      </w:r>
      <w:r>
        <w:rPr>
          <w:rFonts w:hint="eastAsia" w:eastAsia="仿宋_GB2312"/>
          <w:sz w:val="30"/>
          <w:szCs w:val="30"/>
        </w:rPr>
        <w:t>万元、其他商品和服务支出</w:t>
      </w:r>
      <w:r>
        <w:rPr>
          <w:rFonts w:hint="eastAsia" w:eastAsia="仿宋_GB2312"/>
          <w:sz w:val="30"/>
          <w:szCs w:val="30"/>
          <w:u w:val="single"/>
        </w:rPr>
        <w:t>3</w:t>
      </w:r>
      <w:r>
        <w:rPr>
          <w:rFonts w:hint="eastAsia" w:eastAsia="仿宋_GB2312"/>
          <w:sz w:val="30"/>
          <w:szCs w:val="30"/>
        </w:rPr>
        <w:t>万元。</w:t>
      </w:r>
    </w:p>
    <w:p w14:paraId="787FCA8E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 w14:paraId="5A724D8B">
      <w:pPr>
        <w:spacing w:line="5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本部门2021年未安排政府采购预算。</w:t>
      </w:r>
    </w:p>
    <w:p w14:paraId="2CED5FD8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 w14:paraId="5D2CF5AF">
      <w:pPr>
        <w:spacing w:line="580" w:lineRule="exact"/>
        <w:ind w:firstLine="600" w:firstLineChars="200"/>
        <w:rPr>
          <w:rFonts w:ascii="仿宋_GB2312" w:hAnsi="宋体" w:eastAsia="仿宋_GB2312" w:cs="仿宋_GB2312"/>
          <w:color w:val="0000FF"/>
          <w:sz w:val="30"/>
          <w:szCs w:val="30"/>
        </w:rPr>
      </w:pPr>
      <w:r>
        <w:rPr>
          <w:rFonts w:eastAsia="仿宋_GB2312"/>
          <w:sz w:val="30"/>
          <w:szCs w:val="30"/>
        </w:rPr>
        <w:t>截至20</w:t>
      </w:r>
      <w:r>
        <w:rPr>
          <w:rFonts w:hint="eastAsia"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底</w:t>
      </w:r>
      <w:r>
        <w:rPr>
          <w:rFonts w:eastAsia="仿宋_GB2312"/>
          <w:sz w:val="30"/>
          <w:szCs w:val="30"/>
        </w:rPr>
        <w:t>，</w:t>
      </w:r>
      <w:r>
        <w:rPr>
          <w:rFonts w:hint="eastAsia" w:eastAsia="仿宋_GB2312"/>
          <w:sz w:val="30"/>
          <w:szCs w:val="30"/>
        </w:rPr>
        <w:t>本</w:t>
      </w:r>
      <w:r>
        <w:rPr>
          <w:rFonts w:eastAsia="仿宋_GB2312"/>
          <w:sz w:val="30"/>
          <w:szCs w:val="30"/>
        </w:rPr>
        <w:t>部门各单位共有车辆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辆，其中：</w:t>
      </w:r>
      <w:r>
        <w:rPr>
          <w:rFonts w:hint="eastAsia" w:ascii="仿宋_GB2312" w:hAnsi="宋体" w:eastAsia="仿宋_GB2312" w:cs="仿宋_GB2312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eastAsia="仿宋_GB2312"/>
          <w:sz w:val="30"/>
          <w:szCs w:val="30"/>
        </w:rPr>
        <w:t>辆、应急保障用车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eastAsia="仿宋_GB2312"/>
          <w:sz w:val="30"/>
          <w:szCs w:val="30"/>
        </w:rPr>
        <w:t>辆、执法执勤用车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eastAsia="仿宋_GB2312"/>
          <w:sz w:val="30"/>
          <w:szCs w:val="30"/>
        </w:rPr>
        <w:t>辆、特种专业技术用车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eastAsia="仿宋_GB2312"/>
          <w:sz w:val="30"/>
          <w:szCs w:val="30"/>
        </w:rPr>
        <w:t>辆、离退休干部用车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eastAsia="仿宋_GB2312"/>
          <w:sz w:val="30"/>
          <w:szCs w:val="30"/>
        </w:rPr>
        <w:t>辆、</w:t>
      </w:r>
      <w:r>
        <w:rPr>
          <w:rFonts w:hint="eastAsia" w:ascii="仿宋_GB2312" w:hAnsi="宋体" w:eastAsia="仿宋_GB2312" w:cs="仿宋_GB2312"/>
          <w:sz w:val="30"/>
          <w:szCs w:val="30"/>
        </w:rPr>
        <w:t>其他用车</w:t>
      </w:r>
      <w:r>
        <w:rPr>
          <w:rFonts w:hint="eastAsia" w:ascii="仿宋_GB2312" w:hAnsi="宋体" w:eastAsia="仿宋_GB2312" w:cs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。单价50万元以上的通用设备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台（套），单价100万元以上的专用设备</w:t>
      </w:r>
      <w:r>
        <w:rPr>
          <w:rFonts w:hint="eastAsia" w:ascii="仿宋_GB2312" w:eastAsia="仿宋_GB2312"/>
          <w:sz w:val="30"/>
          <w:szCs w:val="30"/>
          <w:u w:val="single"/>
        </w:rPr>
        <w:t>0</w:t>
      </w:r>
      <w:r>
        <w:rPr>
          <w:rFonts w:hint="eastAsia" w:ascii="仿宋_GB2312" w:hAnsi="宋体" w:eastAsia="仿宋_GB2312" w:cs="仿宋_GB2312"/>
          <w:sz w:val="30"/>
          <w:szCs w:val="30"/>
        </w:rPr>
        <w:t>台（套）。</w:t>
      </w:r>
    </w:p>
    <w:p w14:paraId="0B0D4AED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 w14:paraId="7BE6C971"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</w:t>
      </w:r>
      <w:r>
        <w:rPr>
          <w:rFonts w:hint="eastAsia" w:eastAsia="仿宋_GB2312"/>
          <w:color w:val="000000"/>
          <w:sz w:val="30"/>
          <w:szCs w:val="30"/>
        </w:rPr>
        <w:t>21</w:t>
      </w:r>
      <w:r>
        <w:rPr>
          <w:rFonts w:eastAsia="仿宋_GB2312"/>
          <w:color w:val="000000"/>
          <w:sz w:val="30"/>
          <w:szCs w:val="30"/>
        </w:rPr>
        <w:t>年，本部门实行绩效目标管理的项目</w:t>
      </w:r>
      <w:r>
        <w:rPr>
          <w:rFonts w:hint="eastAsia" w:eastAsia="仿宋_GB2312"/>
          <w:sz w:val="30"/>
          <w:szCs w:val="30"/>
          <w:u w:val="single"/>
        </w:rPr>
        <w:t>1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hint="eastAsia" w:eastAsia="仿宋_GB2312"/>
          <w:sz w:val="30"/>
          <w:szCs w:val="30"/>
          <w:u w:val="single"/>
        </w:rPr>
        <w:t>20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 w14:paraId="5384E226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 w14:paraId="25E76CC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14:paraId="08A0C47A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 w14:paraId="26043B89"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1.本部门2021年财政拨款政府性基金预算支出预算表为空表。</w:t>
      </w:r>
    </w:p>
    <w:p w14:paraId="207B8357"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2.本部门2021年财政拨款政府采购预算表为空表。</w:t>
      </w:r>
    </w:p>
    <w:p w14:paraId="52F4EDC0"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3.</w:t>
      </w:r>
      <w:r>
        <w:rPr>
          <w:rFonts w:hint="eastAsia" w:eastAsia="仿宋_GB2312"/>
          <w:sz w:val="30"/>
          <w:szCs w:val="30"/>
        </w:rPr>
        <w:t>本部门2021年财政拨款“三公”</w:t>
      </w:r>
      <w:bookmarkStart w:id="0" w:name="_GoBack"/>
      <w:bookmarkEnd w:id="0"/>
      <w:r>
        <w:rPr>
          <w:rFonts w:hint="eastAsia" w:eastAsia="仿宋_GB2312"/>
          <w:sz w:val="30"/>
          <w:szCs w:val="30"/>
        </w:rPr>
        <w:t>经费预算表为空表</w:t>
      </w:r>
      <w:r>
        <w:rPr>
          <w:rFonts w:hint="eastAsia" w:eastAsia="楷体_GB2312"/>
          <w:sz w:val="30"/>
          <w:szCs w:val="30"/>
        </w:rPr>
        <w:t>。</w:t>
      </w:r>
    </w:p>
    <w:p w14:paraId="35DC0DE6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（七）关于项目情况的说明</w:t>
      </w:r>
    </w:p>
    <w:p w14:paraId="6049FF3F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党群工作专项项目情况</w:t>
      </w:r>
    </w:p>
    <w:p w14:paraId="705ECAB6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一、项目概述</w:t>
      </w:r>
    </w:p>
    <w:p w14:paraId="63958DC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经开区团委遵循“服务大局，服务社会，服务青年”的原则，按照统筹兼顾，保证重点；量入为出，收支平衡；真实合法，精细高效的预算编制原则及往年执行情况制定年度经费预算编制，2021年预算资金20万元，主要包含：基层团组织建设、团组织宣传工作、团组织阵地建设、团干部队伍建设、青年思想引领、承接、参加上级团组织安排的活动、扶贫助困等方面。</w:t>
      </w:r>
    </w:p>
    <w:p w14:paraId="5A89BFFC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二、立项依据</w:t>
      </w:r>
    </w:p>
    <w:p w14:paraId="69BA067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经开区团委组织开展青年工作。</w:t>
      </w:r>
    </w:p>
    <w:p w14:paraId="46511FD8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三、实施主体</w:t>
      </w:r>
    </w:p>
    <w:p w14:paraId="259410B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经开区团委。</w:t>
      </w:r>
    </w:p>
    <w:p w14:paraId="1C534E4C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四、实施方案</w:t>
      </w:r>
    </w:p>
    <w:p w14:paraId="49DE8005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按照年度工作计划，推动非公企业加强基层团组织建设；支持基层团组织建立青年之家服务阵地；开展青年创新创业活动；引领青年积极承担社会责任，开展青年志愿服务；开展评优评先活动，树立优秀青年典型，发挥优秀青年的引领作用。</w:t>
      </w:r>
    </w:p>
    <w:p w14:paraId="171139B8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五、实施周期</w:t>
      </w:r>
    </w:p>
    <w:p w14:paraId="14894548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2021年1月1日至2021年12月31日</w:t>
      </w:r>
    </w:p>
    <w:p w14:paraId="203DDF7D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六、年度预算安排</w:t>
      </w:r>
    </w:p>
    <w:p w14:paraId="2F73B6D3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1、基层团组织建设4万元。用于支持基层团组织开展团员青年培训、青年突击队建设、青年文化体育活动、青年创新创优等项目支持4万元。</w:t>
      </w:r>
    </w:p>
    <w:p w14:paraId="655142D5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2、团组织宣传工作1万元。共青团品牌工作宣传品制作、工作手册印制1万元。</w:t>
      </w:r>
    </w:p>
    <w:p w14:paraId="085542E1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3、团组织阵地建设4万元。在区域及基层团组织树立青年阵地建设典型，以点带面，辐射区域团组织开展服务青年阵地建设，给予基层团组织阵地建设项目支持4万元。</w:t>
      </w:r>
    </w:p>
    <w:p w14:paraId="3F793E87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4、团干部队伍建设2万元。结合五四、七一等重要时间节点开展四期主题团课活动，团课场地费、聘请老师讲课费、会议材料等费用，团干部业务知识提升培训讲课费、场地费、材料费等2万元。</w:t>
      </w:r>
    </w:p>
    <w:p w14:paraId="5B9816DA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5、青年思想引领7万元。组织开展青年大学习，优秀团员、青年评比表彰，组织、开展青年志愿服务活动7万元。</w:t>
      </w:r>
    </w:p>
    <w:p w14:paraId="1A086CF4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6、参加上级团组织安排的活动1万元。</w:t>
      </w:r>
    </w:p>
    <w:p w14:paraId="44312FC9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7、扶贫助困1万元。帮扶贫困地区捐赠学习用品，衣物，运输等费用1万。</w:t>
      </w:r>
    </w:p>
    <w:p w14:paraId="081F1775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七、绩效目标和指标</w:t>
      </w:r>
    </w:p>
    <w:p w14:paraId="29F1814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（一）经开区团委针对区域团员青年情况、区域基层团组织工作情况计划开展≥30次的调研活动。</w:t>
      </w:r>
    </w:p>
    <w:p w14:paraId="21F76DE8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（二）推进基层团组织规范化建设，新建立基层团组织≥10家。</w:t>
      </w:r>
    </w:p>
    <w:p w14:paraId="59EA08CE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（三）积极指导、推动不少于3家基层团组织建立“青年之家”，提供政策扶持，使“青年之家”成为服务团员青年的阵地依托，提升基层团组织的服务力、引领力和凝聚力。</w:t>
      </w:r>
    </w:p>
    <w:p w14:paraId="69672999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（四）通过开展青年思想引领活动加强基层团组织建设,计划组织开展4次主题团日及团干部培训活动。</w:t>
      </w:r>
    </w:p>
    <w:p w14:paraId="0A5FEE32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（五）计划开展“创文、助老、助残、助困公益≥80场志愿活动。</w:t>
      </w:r>
    </w:p>
    <w:p w14:paraId="37BC6FFF"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（六）推动青年大学习参与人数≥3万人次，选树表彰优秀青年，优秀组织，不断提升团组织的凝聚力与影响力。</w:t>
      </w:r>
    </w:p>
    <w:sectPr>
      <w:headerReference r:id="rId3" w:type="default"/>
      <w:footerReference r:id="rId4" w:type="default"/>
      <w:footerReference r:id="rId5" w:type="even"/>
      <w:pgSz w:w="11907" w:h="16840"/>
      <w:pgMar w:top="1985" w:right="1588" w:bottom="1701" w:left="1588" w:header="765" w:footer="765" w:gutter="0"/>
      <w:pgNumType w:fmt="numberInDash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4F1C5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2C116"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A9AC109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3F35D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91D22"/>
    <w:multiLevelType w:val="singleLevel"/>
    <w:tmpl w:val="ECC91D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0F94"/>
    <w:rsid w:val="000052D4"/>
    <w:rsid w:val="000124B4"/>
    <w:rsid w:val="000D05BA"/>
    <w:rsid w:val="0012226B"/>
    <w:rsid w:val="00146288"/>
    <w:rsid w:val="0016768A"/>
    <w:rsid w:val="00177894"/>
    <w:rsid w:val="001C6249"/>
    <w:rsid w:val="001E4658"/>
    <w:rsid w:val="00242426"/>
    <w:rsid w:val="00242F0B"/>
    <w:rsid w:val="00267AED"/>
    <w:rsid w:val="00280F94"/>
    <w:rsid w:val="00285F0A"/>
    <w:rsid w:val="00290074"/>
    <w:rsid w:val="002B2CE0"/>
    <w:rsid w:val="002D062E"/>
    <w:rsid w:val="002F2F18"/>
    <w:rsid w:val="00383807"/>
    <w:rsid w:val="004F4D6A"/>
    <w:rsid w:val="00517242"/>
    <w:rsid w:val="00572D96"/>
    <w:rsid w:val="005C395E"/>
    <w:rsid w:val="006D47A9"/>
    <w:rsid w:val="00715238"/>
    <w:rsid w:val="007222EE"/>
    <w:rsid w:val="00782119"/>
    <w:rsid w:val="007C47EF"/>
    <w:rsid w:val="007E64D7"/>
    <w:rsid w:val="00811029"/>
    <w:rsid w:val="0083495A"/>
    <w:rsid w:val="00865F07"/>
    <w:rsid w:val="00A0689A"/>
    <w:rsid w:val="00A24FA5"/>
    <w:rsid w:val="00A34EBA"/>
    <w:rsid w:val="00A548E4"/>
    <w:rsid w:val="00A64C49"/>
    <w:rsid w:val="00A76FAA"/>
    <w:rsid w:val="00BD7440"/>
    <w:rsid w:val="00BE1883"/>
    <w:rsid w:val="00C01D5E"/>
    <w:rsid w:val="00CE3A17"/>
    <w:rsid w:val="00D06AA9"/>
    <w:rsid w:val="00D313D3"/>
    <w:rsid w:val="00D444F2"/>
    <w:rsid w:val="00D54AF9"/>
    <w:rsid w:val="00D85076"/>
    <w:rsid w:val="00DE7CED"/>
    <w:rsid w:val="00DF100B"/>
    <w:rsid w:val="00E74619"/>
    <w:rsid w:val="00EC498D"/>
    <w:rsid w:val="00EF14F9"/>
    <w:rsid w:val="00EF41D3"/>
    <w:rsid w:val="00F50A69"/>
    <w:rsid w:val="00F564F9"/>
    <w:rsid w:val="00FA03CB"/>
    <w:rsid w:val="00FB584C"/>
    <w:rsid w:val="00FF41A3"/>
    <w:rsid w:val="29773306"/>
    <w:rsid w:val="616E058B"/>
    <w:rsid w:val="65513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1129</Words>
  <Characters>1133</Characters>
  <Lines>21</Lines>
  <Paragraphs>6</Paragraphs>
  <TotalTime>0</TotalTime>
  <ScaleCrop>false</ScaleCrop>
  <LinksUpToDate>false</LinksUpToDate>
  <CharactersWithSpaces>1134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2021-09-26T08:07:00Z</dcterms:created>
  <dc:creator>张萌</dc:creator>
  <cp:lastModifiedBy>sss</cp:lastModifiedBy>
  <cp:lastPrinted>2021-09-27T02:48:00Z</cp:lastPrinted>
  <dcterms:modified xsi:type="dcterms:W3CDTF">2025-08-11T07:41:07Z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eyJoZGlkIjoiMTU5NGE5MzUzODA2NmVhOGVmZTMzYWIzYzk3ZTgyYTMiLCJ1c2VySWQiOiI1ODE4MTEyOTUifQ==</vt:lpwstr>
  </property>
  <property fmtid="{D5CDD505-2E9C-101B-9397-08002B2CF9AE}" pid="4" name="ICV">
    <vt:lpwstr>D14C925543104DC783FA67DC30819BF7_12</vt:lpwstr>
  </property>
</Properties>
</file>