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80" w:lineRule="exact"/>
        <w:jc w:val="center"/>
        <w:rPr>
          <w:rFonts w:eastAsia="黑体"/>
          <w:w w:val="95"/>
          <w:sz w:val="44"/>
          <w:szCs w:val="44"/>
          <w:lang w:val="en-US" w:eastAsia="zh-CN"/>
        </w:rPr>
      </w:pPr>
      <w:bookmarkStart w:id="105" w:name="_GoBack"/>
      <w:bookmarkEnd w:id="105"/>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240" w:lineRule="auto"/>
        <w:jc w:val="center"/>
        <w:rPr>
          <w:rFonts w:hint="eastAsia" w:ascii="方正小标宋简体" w:hAnsi="方正小标宋简体" w:eastAsia="方正小标宋简体" w:cs="方正小标宋简体"/>
          <w:sz w:val="48"/>
          <w:szCs w:val="48"/>
          <w:lang w:val="en-US" w:eastAsia="zh-CN"/>
        </w:rPr>
      </w:pPr>
      <w:r>
        <w:rPr>
          <w:rFonts w:hint="eastAsia" w:ascii="方正小标宋简体" w:hAnsi="方正小标宋简体" w:eastAsia="方正小标宋简体" w:cs="方正小标宋简体"/>
          <w:sz w:val="48"/>
          <w:szCs w:val="48"/>
          <w:lang w:val="en-US" w:eastAsia="zh-CN"/>
        </w:rPr>
        <w:t>天津经济技术开发区南港工业区产业促进办公室</w:t>
      </w:r>
    </w:p>
    <w:p>
      <w:pPr>
        <w:wordWrap w:val="0"/>
        <w:spacing w:line="240" w:lineRule="auto"/>
        <w:jc w:val="center"/>
        <w:rPr>
          <w:rFonts w:hint="eastAsia" w:ascii="方正小标宋简体" w:hAnsi="方正小标宋简体" w:eastAsia="方正小标宋简体" w:cs="方正小标宋简体"/>
          <w:w w:val="95"/>
          <w:sz w:val="48"/>
          <w:szCs w:val="48"/>
          <w:lang w:val="en-US" w:eastAsia="zh-CN"/>
        </w:rPr>
      </w:pPr>
      <w:r>
        <w:rPr>
          <w:rFonts w:hint="eastAsia" w:ascii="方正小标宋简体" w:hAnsi="方正小标宋简体" w:eastAsia="方正小标宋简体" w:cs="方正小标宋简体"/>
          <w:sz w:val="48"/>
          <w:szCs w:val="48"/>
          <w:lang w:val="en-US" w:eastAsia="zh-CN"/>
        </w:rPr>
        <w:t>2024年度部门决算</w:t>
      </w: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580" w:lineRule="exact"/>
        <w:jc w:val="center"/>
        <w:rPr>
          <w:rFonts w:hint="eastAsia" w:ascii="黑体" w:eastAsia="黑体"/>
          <w:sz w:val="30"/>
          <w:szCs w:val="30"/>
          <w:lang w:val="en-US" w:eastAsia="zh-CN"/>
        </w:rPr>
      </w:pPr>
    </w:p>
    <w:p>
      <w:pPr>
        <w:wordWrap w:val="0"/>
        <w:spacing w:line="600" w:lineRule="exact"/>
        <w:jc w:val="both"/>
        <w:rPr>
          <w:rFonts w:hint="eastAsia" w:ascii="黑体" w:eastAsia="黑体"/>
          <w:sz w:val="44"/>
          <w:szCs w:val="44"/>
          <w:lang w:val="en-US" w:eastAsia="zh-CN"/>
        </w:rPr>
        <w:sectPr>
          <w:headerReference r:id="rId7" w:type="first"/>
          <w:footerReference r:id="rId9" w:type="first"/>
          <w:headerReference r:id="rId5" w:type="default"/>
          <w:headerReference r:id="rId6" w:type="even"/>
          <w:footerReference r:id="rId8" w:type="even"/>
          <w:pgSz w:w="11906" w:h="16838"/>
          <w:pgMar w:top="1440" w:right="1800" w:bottom="1440" w:left="1800" w:header="851" w:footer="992" w:gutter="0"/>
          <w:pgNumType w:start="1"/>
          <w:cols w:space="720" w:num="1"/>
          <w:docGrid w:type="lines" w:linePitch="312" w:charSpace="0"/>
        </w:sectPr>
      </w:pPr>
    </w:p>
    <w:p>
      <w:pPr>
        <w:wordWrap w:val="0"/>
        <w:spacing w:line="600" w:lineRule="exact"/>
        <w:jc w:val="both"/>
        <w:rPr>
          <w:rFonts w:hint="eastAsia" w:ascii="黑体" w:eastAsia="黑体"/>
          <w:sz w:val="44"/>
          <w:szCs w:val="44"/>
          <w:lang w:val="en-US" w:eastAsia="zh-CN"/>
        </w:rPr>
      </w:pPr>
    </w:p>
    <w:p>
      <w:pPr>
        <w:wordWrap w:val="0"/>
        <w:spacing w:line="600" w:lineRule="exact"/>
        <w:jc w:val="center"/>
        <w:rPr>
          <w:lang w:val="en-US" w:eastAsia="zh-CN"/>
        </w:rPr>
      </w:pPr>
      <w:r>
        <w:rPr>
          <w:rFonts w:hint="eastAsia" w:ascii="黑体" w:eastAsia="黑体"/>
          <w:sz w:val="44"/>
          <w:szCs w:val="44"/>
          <w:lang w:val="en-US" w:eastAsia="zh-CN"/>
        </w:rPr>
        <w:t>目录</w:t>
      </w:r>
    </w:p>
    <w:p>
      <w:pPr>
        <w:pStyle w:val="24"/>
        <w:tabs>
          <w:tab w:val="right" w:leader="dot" w:pos="8306"/>
        </w:tabs>
        <w:rPr>
          <w:rFonts w:hint="eastAsia" w:eastAsia="方正小标宋简体"/>
          <w:sz w:val="30"/>
          <w:szCs w:val="30"/>
          <w:lang w:val="en-US" w:eastAsia="zh-CN"/>
        </w:rPr>
      </w:pPr>
      <w:r>
        <w:rPr>
          <w:rFonts w:eastAsia="仿宋"/>
          <w:sz w:val="30"/>
          <w:szCs w:val="32"/>
          <w:lang w:val="en-US" w:eastAsia="zh-CN"/>
        </w:rPr>
        <w:fldChar w:fldCharType="begin"/>
      </w:r>
      <w:r>
        <w:rPr>
          <w:rFonts w:eastAsia="仿宋"/>
          <w:sz w:val="30"/>
          <w:szCs w:val="32"/>
          <w:lang w:val="en-US" w:eastAsia="zh-CN"/>
        </w:rPr>
        <w:instrText xml:space="preserve">TOC \o "1-2" \h \u</w:instrText>
      </w:r>
      <w:r>
        <w:rPr>
          <w:rFonts w:eastAsia="仿宋"/>
          <w:sz w:val="30"/>
          <w:szCs w:val="32"/>
          <w:lang w:val="en-US" w:eastAsia="zh-CN"/>
        </w:rPr>
        <w:fldChar w:fldCharType="separate"/>
      </w:r>
      <w:r>
        <w:rPr>
          <w:lang w:val="en-US" w:eastAsia="zh-CN"/>
        </w:rPr>
        <w:fldChar w:fldCharType="begin"/>
      </w:r>
      <w:r>
        <w:rPr>
          <w:lang w:val="en-US" w:eastAsia="zh-CN"/>
        </w:rPr>
        <w:instrText xml:space="preserve"> HYPERLINK </w:instrText>
      </w:r>
      <w:r>
        <w:rPr>
          <w:lang w:val="en-US" w:eastAsia="zh-CN"/>
        </w:rPr>
        <w:fldChar w:fldCharType="separate"/>
      </w:r>
      <w:r>
        <w:rPr>
          <w:rFonts w:hint="eastAsia" w:ascii="黑体" w:hAnsi="黑体" w:eastAsia="黑体" w:cs="黑体"/>
          <w:sz w:val="30"/>
          <w:szCs w:val="30"/>
          <w:lang w:val="en-US" w:eastAsia="zh-CN"/>
        </w:rPr>
        <w:t>第一部分  概 况</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一、主要职责</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二、机构设置</w:t>
      </w:r>
      <w:r>
        <w:rPr>
          <w:lang w:val="en-US" w:eastAsia="zh-CN"/>
        </w:rPr>
        <w:fldChar w:fldCharType="end"/>
      </w:r>
    </w:p>
    <w:p>
      <w:pPr>
        <w:pStyle w:val="24"/>
        <w:tabs>
          <w:tab w:val="right" w:leader="dot" w:pos="8306"/>
        </w:tabs>
        <w:rPr>
          <w:rFonts w:hint="eastAsia" w:eastAsia="方正小标宋简体"/>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黑体" w:hAnsi="黑体" w:eastAsia="黑体" w:cs="黑体"/>
          <w:sz w:val="30"/>
          <w:szCs w:val="30"/>
          <w:lang w:val="en-US" w:eastAsia="zh-CN"/>
        </w:rPr>
        <w:t>第二部分  2024年度部门决算表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一、《收入支出决算总表》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二、《收入决算表（按功能分类列示）》</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三、《收入决算表（按单位列示）》</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四、《支出决算表》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五、《财政拨款收入支出决算总表》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六、《一般公共预算财政拨款支出决算表》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七、《一般公共预算财政拨款基本支出决算表》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八、《政府性基金预算财政拨款收入支出决算表》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九、《国有资本经营预算财政拨款收入支出决算表》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十、《财政拨款“三公”经费支出决算表》</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十一、《项目支出决算表》</w:t>
      </w:r>
      <w:r>
        <w:rPr>
          <w:lang w:val="en-US" w:eastAsia="zh-CN"/>
        </w:rPr>
        <w:fldChar w:fldCharType="end"/>
      </w:r>
    </w:p>
    <w:p>
      <w:pPr>
        <w:pStyle w:val="24"/>
        <w:tabs>
          <w:tab w:val="right" w:leader="dot" w:pos="8306"/>
        </w:tabs>
        <w:rPr>
          <w:rFonts w:hint="eastAsia" w:eastAsia="方正小标宋简体"/>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黑体" w:hAnsi="黑体" w:eastAsia="黑体" w:cs="黑体"/>
          <w:sz w:val="30"/>
          <w:szCs w:val="30"/>
          <w:lang w:val="en-US" w:eastAsia="zh-CN"/>
        </w:rPr>
        <w:t>第三部分 2024年度部门决算情况说明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一、收入支出决算总体情况说明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二、收入决算情况说明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三、支出决算情况说明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四、财政拨款收支决算总体情况说明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五、一般公共预算财政拨款支出决算情况说明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六、一般公共预算财政拨款基本支出决算情况说明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七、政府性基金预算财政拨款收支决算情况说明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八、国有资本经营预算财政拨款收支决算情况说明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九、财政拨款“三公”经费支出决算情况说明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十、机关运行经费支出情况说明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十一、政府采购支出情况说明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十二、国有资产占有使用情况说明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十三、预算绩效情况说明</w:t>
      </w:r>
      <w:r>
        <w:rPr>
          <w:lang w:val="en-US" w:eastAsia="zh-CN"/>
        </w:rPr>
        <w:fldChar w:fldCharType="end"/>
      </w:r>
    </w:p>
    <w:p>
      <w:pPr>
        <w:pStyle w:val="21"/>
        <w:tabs>
          <w:tab w:val="right" w:leader="dot" w:pos="8306"/>
        </w:tabs>
        <w:wordWrap w:val="0"/>
        <w:spacing w:after="0" w:line="700" w:lineRule="exact"/>
        <w:rPr>
          <w:rFonts w:hint="eastAsia" w:ascii="Times New Roman" w:hAnsi="Times New Roman" w:eastAsia="仿宋_GB2312"/>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Times New Roman" w:hAnsi="Times New Roman" w:eastAsia="仿宋_GB2312"/>
          <w:sz w:val="30"/>
          <w:szCs w:val="30"/>
          <w:lang w:val="en-US" w:eastAsia="zh-CN"/>
        </w:rPr>
        <w:t>十四、教育、医疗卫生、社会保障和就业、住房保障、涉农补贴等民生支出情况说明</w:t>
      </w:r>
      <w:r>
        <w:rPr>
          <w:lang w:val="en-US" w:eastAsia="zh-CN"/>
        </w:rPr>
        <w:fldChar w:fldCharType="end"/>
      </w:r>
    </w:p>
    <w:p>
      <w:pPr>
        <w:pStyle w:val="24"/>
        <w:tabs>
          <w:tab w:val="right" w:leader="dot" w:pos="8306"/>
        </w:tabs>
        <w:rPr>
          <w:rFonts w:hint="eastAsia" w:eastAsia="方正小标宋简体"/>
          <w:sz w:val="30"/>
          <w:szCs w:val="30"/>
          <w:lang w:val="en-US" w:eastAsia="zh-CN"/>
        </w:rPr>
      </w:pPr>
      <w:r>
        <w:rPr>
          <w:lang w:val="en-US" w:eastAsia="zh-CN"/>
        </w:rPr>
        <w:fldChar w:fldCharType="begin"/>
      </w:r>
      <w:r>
        <w:rPr>
          <w:lang w:val="en-US" w:eastAsia="zh-CN"/>
        </w:rPr>
        <w:instrText xml:space="preserve"> HYPERLINK </w:instrText>
      </w:r>
      <w:r>
        <w:rPr>
          <w:lang w:val="en-US" w:eastAsia="zh-CN"/>
        </w:rPr>
        <w:fldChar w:fldCharType="separate"/>
      </w:r>
      <w:r>
        <w:rPr>
          <w:rFonts w:hint="eastAsia" w:ascii="黑体" w:hAnsi="黑体" w:eastAsia="黑体" w:cs="黑体"/>
          <w:sz w:val="30"/>
          <w:szCs w:val="30"/>
          <w:lang w:val="en-US" w:eastAsia="zh-CN"/>
        </w:rPr>
        <w:t>第四部分  名词解释</w:t>
      </w:r>
      <w:r>
        <w:rPr>
          <w:lang w:val="en-US" w:eastAsia="zh-CN"/>
        </w:rPr>
        <w:fldChar w:fldCharType="end"/>
      </w:r>
    </w:p>
    <w:p>
      <w:pPr>
        <w:wordWrap w:val="0"/>
        <w:rPr>
          <w:rFonts w:eastAsia="仿宋"/>
          <w:b/>
          <w:szCs w:val="32"/>
          <w:lang w:val="en-US" w:eastAsia="zh-CN"/>
        </w:rPr>
      </w:pPr>
      <w:r>
        <w:rPr>
          <w:rFonts w:eastAsia="仿宋"/>
          <w:b/>
          <w:szCs w:val="32"/>
          <w:lang w:val="en-US" w:eastAsia="zh-CN"/>
        </w:rPr>
        <w:fldChar w:fldCharType="end"/>
      </w:r>
    </w:p>
    <w:p>
      <w:pPr>
        <w:wordWrap w:val="0"/>
        <w:rPr>
          <w:rFonts w:eastAsia="仿宋"/>
          <w:b/>
          <w:szCs w:val="32"/>
          <w:lang w:val="en-US" w:eastAsia="zh-CN"/>
        </w:rPr>
      </w:pPr>
    </w:p>
    <w:p>
      <w:pPr>
        <w:wordWrap w:val="0"/>
        <w:spacing w:line="700" w:lineRule="exact"/>
        <w:rPr>
          <w:rFonts w:hint="eastAsia" w:eastAsia="仿宋"/>
          <w:sz w:val="30"/>
          <w:szCs w:val="32"/>
          <w:lang w:val="en-US" w:eastAsia="zh-CN"/>
        </w:rPr>
      </w:pPr>
    </w:p>
    <w:p>
      <w:pPr>
        <w:wordWrap w:val="0"/>
        <w:rPr>
          <w:rFonts w:hint="eastAsia"/>
          <w:lang w:val="en-US" w:eastAsia="zh-CN"/>
        </w:rPr>
      </w:pPr>
    </w:p>
    <w:p>
      <w:pPr>
        <w:wordWrap w:val="0"/>
        <w:rPr>
          <w:rFonts w:hint="eastAsia"/>
          <w:lang w:val="en-US" w:eastAsia="zh-CN"/>
        </w:rPr>
      </w:pPr>
    </w:p>
    <w:p>
      <w:pPr>
        <w:wordWrap w:val="0"/>
        <w:rPr>
          <w:rFonts w:hint="eastAsia"/>
          <w:lang w:val="en-US" w:eastAsia="zh-CN"/>
        </w:rPr>
        <w:sectPr>
          <w:footerReference r:id="rId10" w:type="default"/>
          <w:pgSz w:w="11906" w:h="16838"/>
          <w:pgMar w:top="1440" w:right="1800" w:bottom="1440" w:left="1800" w:header="851" w:footer="992" w:gutter="0"/>
          <w:pgNumType w:start="1"/>
          <w:cols w:space="720" w:num="1"/>
          <w:docGrid w:type="lines" w:linePitch="312" w:charSpace="0"/>
        </w:sectPr>
      </w:pPr>
    </w:p>
    <w:p>
      <w:pPr>
        <w:pStyle w:val="6"/>
        <w:wordWrap w:val="0"/>
        <w:spacing w:before="0" w:after="0" w:line="600" w:lineRule="exact"/>
        <w:jc w:val="center"/>
        <w:rPr>
          <w:rFonts w:hint="eastAsia" w:ascii="方正小标宋简体" w:hAnsi="方正小标宋简体" w:eastAsia="方正小标宋简体" w:cs="方正小标宋简体"/>
          <w:b w:val="0"/>
          <w:bCs/>
          <w:lang w:val="en-US" w:eastAsia="zh-CN"/>
        </w:rPr>
      </w:pPr>
      <w:bookmarkStart w:id="0" w:name="_Toc403062085"/>
      <w:bookmarkStart w:id="1" w:name="_Toc1084941266"/>
      <w:bookmarkStart w:id="2" w:name="_Toc1358716097"/>
      <w:bookmarkStart w:id="3" w:name="_Toc1198055373"/>
      <w:r>
        <w:rPr>
          <w:rFonts w:hint="eastAsia" w:ascii="方正小标宋简体" w:hAnsi="方正小标宋简体" w:eastAsia="方正小标宋简体" w:cs="方正小标宋简体"/>
          <w:b w:val="0"/>
          <w:bCs/>
          <w:lang w:val="en-US" w:eastAsia="zh-CN"/>
        </w:rPr>
        <w:t>第一部分  概 况</w:t>
      </w:r>
      <w:bookmarkEnd w:id="0"/>
      <w:bookmarkEnd w:id="1"/>
      <w:bookmarkEnd w:id="2"/>
      <w:bookmarkEnd w:id="3"/>
    </w:p>
    <w:p>
      <w:pPr>
        <w:pStyle w:val="7"/>
        <w:wordWrap w:val="0"/>
        <w:spacing w:before="0" w:after="0" w:line="800" w:lineRule="exact"/>
        <w:ind w:firstLine="602" w:firstLineChars="200"/>
        <w:rPr>
          <w:rFonts w:hint="eastAsia" w:ascii="黑体" w:hAnsi="黑体" w:eastAsia="黑体"/>
          <w:sz w:val="30"/>
          <w:szCs w:val="30"/>
          <w:lang w:val="en-US" w:eastAsia="zh-CN"/>
        </w:rPr>
      </w:pPr>
      <w:bookmarkStart w:id="4" w:name="_Toc1747823728"/>
      <w:bookmarkStart w:id="5" w:name="_Toc1101039957"/>
      <w:bookmarkStart w:id="6" w:name="_Toc909979739"/>
      <w:bookmarkStart w:id="7" w:name="_Toc324210985"/>
      <w:r>
        <w:rPr>
          <w:rFonts w:hint="eastAsia" w:ascii="黑体" w:hAnsi="黑体" w:eastAsia="黑体"/>
          <w:sz w:val="30"/>
          <w:szCs w:val="30"/>
          <w:lang w:val="en-US" w:eastAsia="zh-CN"/>
        </w:rPr>
        <w:t>一、主要职责</w:t>
      </w:r>
      <w:bookmarkEnd w:id="4"/>
      <w:bookmarkEnd w:id="5"/>
      <w:bookmarkEnd w:id="6"/>
      <w:bookmarkEnd w:id="7"/>
    </w:p>
    <w:p>
      <w:pPr>
        <w:wordWrap w:val="0"/>
        <w:spacing w:line="600" w:lineRule="exact"/>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天津经济技术开发区南港工业区产业促进办公室的主要职责是：1.贯彻执行国家、天津市、滨海新区和天津经开区有关招商引资、产业促进的政策要求，跟踪石油化工、精细化工、新能源、新材料等产业发展趋势，研究制定相关招商引资具体政策和配套措施。 2.加强与国家、天津市和滨海新区有关部门衔接沟通，协同落实南港工业区重大政策制定、重大项目落地工作。 3.贯彻落实天津经开区“三资并重”的招商理念，开拓并维护各级政府、企业、协会、中介机构等渠道资源，协调驻外单位，开展招商引资推广工作。 4.负责石油化工、精细化工、新能源、新材料、港口等产业方向的招商引资工作，策划和制定专业化的招商活动计划、方案并组织实施。 5.负责在谈和已投资重大项目的跟踪、服务工作，协调有关部门解决项目提出的问题，促进项目落地建设和增资增产。 6.负责完成天津经开区管委会下达的实际利用内外资、新引进项目数、新增全口径税收、新增固定资产投资、新增购地项目数等考核指标。 7.贯彻落实本单位全面从严治党主体责任，严格落实基层党建工作任务，发挥党组织战斗堡垒作用和党员先锋模范作用。 8.完成党委、管委会交办的其他事项。</w:t>
      </w:r>
    </w:p>
    <w:p>
      <w:pPr>
        <w:pStyle w:val="7"/>
        <w:wordWrap w:val="0"/>
        <w:spacing w:before="0" w:after="0" w:line="800" w:lineRule="exact"/>
        <w:ind w:firstLine="602" w:firstLineChars="200"/>
        <w:rPr>
          <w:rFonts w:hint="eastAsia" w:ascii="黑体" w:hAnsi="黑体" w:eastAsia="黑体"/>
          <w:sz w:val="30"/>
          <w:szCs w:val="30"/>
          <w:lang w:val="en-US" w:eastAsia="zh-CN"/>
        </w:rPr>
      </w:pPr>
      <w:bookmarkStart w:id="8" w:name="_Toc1798423086"/>
      <w:bookmarkStart w:id="9" w:name="_Toc848012456"/>
      <w:bookmarkStart w:id="10" w:name="_Toc311971100"/>
      <w:bookmarkStart w:id="11" w:name="_Toc244589183"/>
      <w:r>
        <w:rPr>
          <w:rFonts w:hint="eastAsia" w:ascii="黑体" w:hAnsi="黑体" w:eastAsia="黑体"/>
          <w:sz w:val="30"/>
          <w:szCs w:val="30"/>
          <w:lang w:val="en-US" w:eastAsia="zh-CN"/>
        </w:rPr>
        <w:t>二、机构设置</w:t>
      </w:r>
      <w:bookmarkEnd w:id="8"/>
      <w:bookmarkEnd w:id="9"/>
      <w:bookmarkEnd w:id="10"/>
      <w:bookmarkEnd w:id="11"/>
    </w:p>
    <w:p>
      <w:pPr>
        <w:wordWrap w:val="0"/>
        <w:spacing w:line="600" w:lineRule="exact"/>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天津经济技术开发区南港工业区产业促进办公室内设7个职能科室；纳入天津经济技术开发区南港工业区产业促进办公室2024年度部门决算编制范围的单位包括：</w:t>
      </w:r>
    </w:p>
    <w:p>
      <w:pPr>
        <w:wordWrap w:val="0"/>
        <w:spacing w:line="600" w:lineRule="exact"/>
        <w:rPr>
          <w:rFonts w:hint="eastAsia" w:ascii="仿宋_GB2312" w:eastAsia="仿宋_GB2312"/>
          <w:sz w:val="30"/>
          <w:szCs w:val="30"/>
          <w:lang w:val="en-US" w:eastAsia="zh-CN"/>
        </w:rPr>
      </w:pPr>
      <w:r>
        <w:rPr>
          <w:rFonts w:hint="eastAsia" w:ascii="仿宋_GB2312" w:eastAsia="仿宋_GB2312"/>
          <w:sz w:val="30"/>
          <w:szCs w:val="30"/>
          <w:lang w:val="en-US" w:eastAsia="zh-CN"/>
        </w:rPr>
        <w:t xml:space="preserve">    天津经济技术开发区南港工业区产业促进办公室部门本级。</w:t>
      </w:r>
    </w:p>
    <w:p>
      <w:pPr>
        <w:wordWrap w:val="0"/>
        <w:spacing w:line="580" w:lineRule="exact"/>
        <w:jc w:val="cente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jc w:val="center"/>
        <w:rPr>
          <w:rFonts w:hint="eastAsia" w:ascii="仿宋_GB2312" w:eastAsia="仿宋_GB2312"/>
          <w:sz w:val="30"/>
          <w:szCs w:val="30"/>
          <w:lang w:val="en-US" w:eastAsia="zh-CN"/>
        </w:rPr>
      </w:pPr>
    </w:p>
    <w:p>
      <w:pPr>
        <w:rPr>
          <w:rFonts w:hint="eastAsia" w:ascii="仿宋_GB2312" w:eastAsia="仿宋_GB2312"/>
          <w:sz w:val="30"/>
          <w:szCs w:val="30"/>
          <w:lang w:val="en-US" w:eastAsia="zh-CN"/>
        </w:rPr>
      </w:pPr>
    </w:p>
    <w:p>
      <w:pPr>
        <w:wordWrap w:val="0"/>
        <w:spacing w:line="580" w:lineRule="exact"/>
        <w:jc w:val="center"/>
        <w:rPr>
          <w:rFonts w:eastAsia="黑体"/>
          <w:w w:val="95"/>
          <w:sz w:val="44"/>
          <w:szCs w:val="44"/>
          <w:lang w:val="en-US" w:eastAsia="zh-CN"/>
        </w:rPr>
      </w:pPr>
      <w:r>
        <w:rPr/>
        <w:br w:type="page" w:clear="none"/>
      </w:r>
      <w:bookmarkStart w:id="12" w:name="_Toc264474877"/>
      <w:bookmarkStart w:id="13" w:name="_Toc1290695373"/>
      <w:bookmarkStart w:id="14" w:name="_Toc526698323"/>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wordWrap w:val="0"/>
        <w:spacing w:line="580" w:lineRule="exact"/>
        <w:jc w:val="center"/>
        <w:rPr>
          <w:rFonts w:eastAsia="黑体"/>
          <w:w w:val="95"/>
          <w:sz w:val="44"/>
          <w:szCs w:val="44"/>
          <w:lang w:val="en-US" w:eastAsia="zh-CN"/>
        </w:rPr>
      </w:pPr>
    </w:p>
    <w:p>
      <w:pPr>
        <w:pStyle w:val="6"/>
        <w:wordWrap w:val="0"/>
        <w:spacing w:before="0" w:after="0" w:line="600" w:lineRule="exact"/>
        <w:jc w:val="center"/>
        <w:rPr>
          <w:rFonts w:hint="eastAsia" w:ascii="方正小标宋简体" w:hAnsi="方正小标宋简体" w:eastAsia="方正小标宋简体" w:cs="方正小标宋简体"/>
          <w:b w:val="0"/>
          <w:bCs w:val="0"/>
          <w:lang w:val="en-US" w:eastAsia="zh-CN"/>
        </w:rPr>
      </w:pPr>
      <w:bookmarkStart w:id="15" w:name="_Toc1843866500"/>
      <w:r>
        <w:rPr>
          <w:rFonts w:hint="eastAsia" w:ascii="方正小标宋简体" w:hAnsi="方正小标宋简体" w:eastAsia="方正小标宋简体" w:cs="方正小标宋简体"/>
          <w:b w:val="0"/>
          <w:bCs w:val="0"/>
          <w:lang w:val="en-US" w:eastAsia="zh-CN"/>
        </w:rPr>
        <w:t>第二部分  2024年度部门决算表</w:t>
      </w:r>
      <w:bookmarkEnd w:id="12"/>
      <w:bookmarkEnd w:id="13"/>
      <w:bookmarkEnd w:id="14"/>
      <w:bookmarkEnd w:id="15"/>
      <w:bookmarkStart w:id="16" w:name="_Toc1675239290"/>
      <w:bookmarkEnd w:id="16"/>
    </w:p>
    <w:p>
      <w:pPr>
        <w:wordWrap w:val="0"/>
        <w:spacing w:line="600" w:lineRule="exact"/>
        <w:jc w:val="center"/>
        <w:rPr>
          <w:rFonts w:hint="eastAsia"/>
          <w:lang w:val="en-US" w:eastAsia="zh-CN"/>
        </w:rPr>
      </w:pPr>
    </w:p>
    <w:p>
      <w:pPr>
        <w:pStyle w:val="7"/>
        <w:wordWrap w:val="0"/>
        <w:spacing w:before="0" w:after="0" w:line="800" w:lineRule="exact"/>
        <w:ind w:firstLine="600" w:firstLineChars="200"/>
        <w:rPr>
          <w:rFonts w:hint="eastAsia" w:ascii="黑体" w:hAnsi="黑体" w:eastAsia="黑体"/>
          <w:b w:val="0"/>
          <w:sz w:val="30"/>
          <w:szCs w:val="30"/>
          <w:lang w:val="en-US" w:eastAsia="zh-CN"/>
        </w:rPr>
        <w:sectPr>
          <w:footerReference r:id="rId11" w:type="default"/>
          <w:pgSz w:w="11906" w:h="16838"/>
          <w:pgMar w:top="1440" w:right="1800" w:bottom="1440" w:left="1800" w:header="851" w:footer="992" w:gutter="0"/>
          <w:pgNumType w:start="1"/>
          <w:cols w:space="720" w:num="1"/>
          <w:docGrid w:type="lines" w:linePitch="312" w:charSpace="0"/>
        </w:sectPr>
      </w:pPr>
      <w:bookmarkStart w:id="17" w:name="_Toc1885592096"/>
    </w:p>
    <w:p>
      <w:pPr>
        <w:pStyle w:val="7"/>
        <w:wordWrap w:val="0"/>
        <w:spacing w:before="0" w:after="0" w:line="800" w:lineRule="exact"/>
        <w:ind w:firstLine="602" w:firstLineChars="200"/>
        <w:rPr>
          <w:rFonts w:hint="eastAsia" w:ascii="黑体" w:hAnsi="黑体" w:eastAsia="黑体"/>
          <w:sz w:val="30"/>
          <w:szCs w:val="30"/>
          <w:lang w:val="en-US" w:eastAsia="zh-CN"/>
        </w:rPr>
      </w:pPr>
      <w:bookmarkStart w:id="18" w:name="_Toc88651213"/>
      <w:bookmarkStart w:id="19" w:name="_Toc984815664"/>
      <w:bookmarkStart w:id="20" w:name="_Toc291121727"/>
      <w:r>
        <w:rPr>
          <w:rFonts w:hint="eastAsia" w:ascii="黑体" w:hAnsi="黑体" w:eastAsia="黑体"/>
          <w:sz w:val="30"/>
          <w:szCs w:val="30"/>
          <w:lang w:val="en-US" w:eastAsia="zh-CN"/>
        </w:rPr>
        <w:t>一、《收入支出决算总表》</w:t>
      </w:r>
      <w:bookmarkEnd w:id="17"/>
      <w:bookmarkEnd w:id="18"/>
      <w:bookmarkEnd w:id="19"/>
      <w:bookmarkEnd w:id="20"/>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360"/>
        <w:gridCol w:w="2260"/>
        <w:gridCol w:w="4360"/>
        <w:gridCol w:w="22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662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收入</w:t>
            </w:r>
          </w:p>
        </w:tc>
        <w:tc>
          <w:tcPr>
            <w:tcW w:w="6618"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项    目</w:t>
            </w:r>
          </w:p>
        </w:tc>
        <w:tc>
          <w:tcPr>
            <w:tcW w:w="22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金额</w:t>
            </w:r>
          </w:p>
        </w:tc>
        <w:tc>
          <w:tcPr>
            <w:tcW w:w="43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项    目</w:t>
            </w:r>
          </w:p>
        </w:tc>
        <w:tc>
          <w:tcPr>
            <w:tcW w:w="2258"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一、一般公共预算财政拨款收入</w:t>
            </w:r>
          </w:p>
        </w:tc>
        <w:tc>
          <w:tcPr>
            <w:tcW w:w="226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27,266,217.11</w:t>
            </w: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一、一般公共服务支出</w:t>
            </w:r>
          </w:p>
        </w:tc>
        <w:tc>
          <w:tcPr>
            <w:tcW w:w="225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12,199,575.11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二、政府性基金预算财政拨款收入</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二、公共安全支出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三、国有资本经营预算财政拨款收入</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三、教育支出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四、财政专户管理资金</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四、科学技术支出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五、事业收入</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五、文化旅游体育与传媒支出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六、事业单位经营收入</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六、社会保障和就业支出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七、上级补助收入</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七、卫生健康支出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八、附属单位上缴收入</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八、节能环保支出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九、其他收入</w:t>
            </w:r>
          </w:p>
        </w:tc>
        <w:tc>
          <w:tcPr>
            <w:tcW w:w="226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0.06</w:t>
            </w: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九、城乡社区支出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十、农林水支出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十一、交通运输支出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十二、资源勘探工业信息等支出</w:t>
            </w:r>
          </w:p>
        </w:tc>
        <w:tc>
          <w:tcPr>
            <w:tcW w:w="225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15,066,642.00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十三、商业服务业等支出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十四、金融支出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十五、援助其他地区支出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十六、自然资源海洋气象等支出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十七、住房保障支出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十八、粮油物资储备支出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十九、国有资本经营预算支出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二十、灾害防治及应急管理支出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二十一、其他支出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二十二、债务付息支出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二十三、抗疫特别国债安排的支出</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本年收入合计</w:t>
            </w:r>
          </w:p>
        </w:tc>
        <w:tc>
          <w:tcPr>
            <w:tcW w:w="226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27,266,217.17</w:t>
            </w:r>
          </w:p>
        </w:tc>
        <w:tc>
          <w:tcPr>
            <w:tcW w:w="43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本年支出合计</w:t>
            </w:r>
          </w:p>
        </w:tc>
        <w:tc>
          <w:tcPr>
            <w:tcW w:w="225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27,266,217.11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十、使用非财政拨款结余</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二十四、结余分配</w:t>
            </w: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十一、年初结转和结余</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二十五、年末结转和结余</w:t>
            </w:r>
          </w:p>
        </w:tc>
        <w:tc>
          <w:tcPr>
            <w:tcW w:w="225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 xml:space="preserve">     其中：财政拨款结转和结余</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 xml:space="preserve">           其他结转和结余</w:t>
            </w:r>
          </w:p>
        </w:tc>
        <w:tc>
          <w:tcPr>
            <w:tcW w:w="22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43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5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66" w:hRule="exact"/>
          <w:jc w:val="center"/>
        </w:trPr>
        <w:tc>
          <w:tcPr>
            <w:tcW w:w="43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收入总计</w:t>
            </w:r>
          </w:p>
        </w:tc>
        <w:tc>
          <w:tcPr>
            <w:tcW w:w="226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27,266,217.17</w:t>
            </w:r>
          </w:p>
        </w:tc>
        <w:tc>
          <w:tcPr>
            <w:tcW w:w="43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支出总计</w:t>
            </w:r>
          </w:p>
        </w:tc>
        <w:tc>
          <w:tcPr>
            <w:tcW w:w="225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27,266,217.17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886" w:hRule="exact"/>
          <w:jc w:val="center"/>
        </w:trPr>
        <w:tc>
          <w:tcPr>
            <w:tcW w:w="13238" w:type="dxa"/>
            <w:gridSpan w:val="4"/>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2"/>
                <w:lang w:val="en-US" w:eastAsia="zh-CN" w:bidi="ar-SA"/>
              </w:rPr>
              <w:t>注：本表反映本年度的总收支和年末结转结余情况。财政专户管理资金是指教育收费；事业收入不含教育收费。</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sz w:val="30"/>
          <w:szCs w:val="30"/>
          <w:lang w:val="en-US" w:eastAsia="zh-CN"/>
        </w:rPr>
      </w:pPr>
      <w:r>
        <w:rPr>
          <w:rFonts w:hint="eastAsia" w:ascii="黑体" w:hAnsi="黑体" w:eastAsia="黑体"/>
          <w:sz w:val="30"/>
          <w:szCs w:val="30"/>
          <w:lang w:val="en-US" w:eastAsia="zh-CN"/>
        </w:rPr>
        <w:t>二、《收入决算表（按功能分类列示）》</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80"/>
        <w:gridCol w:w="2300"/>
        <w:gridCol w:w="1280"/>
        <w:gridCol w:w="1280"/>
        <w:gridCol w:w="1280"/>
        <w:gridCol w:w="1280"/>
        <w:gridCol w:w="1280"/>
        <w:gridCol w:w="1280"/>
        <w:gridCol w:w="1280"/>
        <w:gridCol w:w="11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52" w:hRule="exact"/>
          <w:jc w:val="center"/>
        </w:trPr>
        <w:tc>
          <w:tcPr>
            <w:tcW w:w="308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项      目</w:t>
            </w:r>
          </w:p>
        </w:tc>
        <w:tc>
          <w:tcPr>
            <w:tcW w:w="12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本年收入合计</w:t>
            </w:r>
          </w:p>
        </w:tc>
        <w:tc>
          <w:tcPr>
            <w:tcW w:w="12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财政拨款收入</w:t>
            </w:r>
          </w:p>
        </w:tc>
        <w:tc>
          <w:tcPr>
            <w:tcW w:w="12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上级补助收入</w:t>
            </w:r>
          </w:p>
        </w:tc>
        <w:tc>
          <w:tcPr>
            <w:tcW w:w="256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事业收入</w:t>
            </w:r>
          </w:p>
        </w:tc>
        <w:tc>
          <w:tcPr>
            <w:tcW w:w="12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经营收入</w:t>
            </w:r>
          </w:p>
        </w:tc>
        <w:tc>
          <w:tcPr>
            <w:tcW w:w="12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附属单位上缴收入</w:t>
            </w:r>
          </w:p>
        </w:tc>
        <w:tc>
          <w:tcPr>
            <w:tcW w:w="1198"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452" w:hRule="exact"/>
          <w:jc w:val="center"/>
        </w:trPr>
        <w:tc>
          <w:tcPr>
            <w:tcW w:w="7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科目编码</w:t>
            </w:r>
          </w:p>
        </w:tc>
        <w:tc>
          <w:tcPr>
            <w:tcW w:w="23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科目名称</w:t>
            </w:r>
          </w:p>
        </w:tc>
        <w:tc>
          <w:tcPr>
            <w:tcW w:w="12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小计</w:t>
            </w:r>
          </w:p>
        </w:tc>
        <w:tc>
          <w:tcPr>
            <w:tcW w:w="12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其中：教育收费</w:t>
            </w:r>
          </w:p>
        </w:tc>
        <w:tc>
          <w:tcPr>
            <w:tcW w:w="12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308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合计</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27,266,217.17</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27,266,217.11</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201</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一般公共服务支出</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12,199,575.17</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12,199,575.11</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20113</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商贸事务</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12,199,575.17</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12,199,575.11</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2011301</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行政运行</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10,357,977.81</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10,357,977.75</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2011308</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招商引资</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1,841,597.36</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1,841,597.36</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215</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资源勘探工业信息等支出</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15,066,642.00</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15,066,642.00</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21502</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制造业</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15,066,642.00</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15,066,642.00</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3" w:hRule="exact"/>
          <w:jc w:val="center"/>
        </w:trPr>
        <w:tc>
          <w:tcPr>
            <w:tcW w:w="7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2150299</w:t>
            </w:r>
          </w:p>
        </w:tc>
        <w:tc>
          <w:tcPr>
            <w:tcW w:w="23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其他制造业支出</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15,066,642.00</w:t>
            </w:r>
          </w:p>
        </w:tc>
        <w:tc>
          <w:tcPr>
            <w:tcW w:w="12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15,066,642.00</w:t>
            </w: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19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537" w:hRule="exact"/>
          <w:jc w:val="center"/>
        </w:trPr>
        <w:tc>
          <w:tcPr>
            <w:tcW w:w="13238" w:type="dxa"/>
            <w:gridSpan w:val="10"/>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3"/>
                <w:lang w:val="en-US" w:eastAsia="zh-CN" w:bidi="ar-SA"/>
              </w:rPr>
              <w:t>注：本表反映本年度取得的各项收入情况。</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sz w:val="30"/>
          <w:szCs w:val="30"/>
          <w:lang w:val="en-US" w:eastAsia="zh-CN"/>
        </w:rPr>
      </w:pPr>
      <w:r>
        <w:rPr>
          <w:rFonts w:hint="eastAsia" w:ascii="黑体" w:hAnsi="黑体" w:eastAsia="黑体"/>
          <w:sz w:val="30"/>
          <w:szCs w:val="30"/>
          <w:lang w:val="en-US" w:eastAsia="zh-CN"/>
        </w:rPr>
        <w:t>三、《收入决算表（按单位列示）》</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80"/>
        <w:gridCol w:w="1680"/>
        <w:gridCol w:w="620"/>
        <w:gridCol w:w="640"/>
        <w:gridCol w:w="620"/>
        <w:gridCol w:w="560"/>
        <w:gridCol w:w="560"/>
        <w:gridCol w:w="560"/>
        <w:gridCol w:w="560"/>
        <w:gridCol w:w="560"/>
        <w:gridCol w:w="560"/>
        <w:gridCol w:w="560"/>
        <w:gridCol w:w="560"/>
        <w:gridCol w:w="560"/>
        <w:gridCol w:w="560"/>
        <w:gridCol w:w="560"/>
        <w:gridCol w:w="560"/>
        <w:gridCol w:w="560"/>
        <w:gridCol w:w="560"/>
        <w:gridCol w:w="560"/>
        <w:gridCol w:w="6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808" w:hRule="exact"/>
          <w:jc w:val="center"/>
        </w:trPr>
        <w:tc>
          <w:tcPr>
            <w:tcW w:w="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部门（单位）代码</w:t>
            </w:r>
          </w:p>
        </w:tc>
        <w:tc>
          <w:tcPr>
            <w:tcW w:w="16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部门（单位）名称</w:t>
            </w:r>
          </w:p>
        </w:tc>
        <w:tc>
          <w:tcPr>
            <w:tcW w:w="62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合计</w:t>
            </w:r>
          </w:p>
        </w:tc>
        <w:tc>
          <w:tcPr>
            <w:tcW w:w="5740" w:type="dxa"/>
            <w:gridSpan w:val="10"/>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本年收入</w:t>
            </w:r>
          </w:p>
        </w:tc>
        <w:tc>
          <w:tcPr>
            <w:tcW w:w="4618" w:type="dxa"/>
            <w:gridSpan w:val="8"/>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上年结转和结余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808" w:hRule="exact"/>
          <w:jc w:val="center"/>
        </w:trPr>
        <w:tc>
          <w:tcPr>
            <w:tcW w:w="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6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2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小计</w:t>
            </w:r>
          </w:p>
        </w:tc>
        <w:tc>
          <w:tcPr>
            <w:tcW w:w="62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一般公共预算</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政府性基金预算</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国有资本经营预算</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财政专户管理资金</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事业收入</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事业单位经营收入</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上级补助收入</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附属单位上缴收入</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其他收入</w:t>
            </w:r>
          </w:p>
        </w:tc>
        <w:tc>
          <w:tcPr>
            <w:tcW w:w="5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小计</w:t>
            </w:r>
          </w:p>
        </w:tc>
        <w:tc>
          <w:tcPr>
            <w:tcW w:w="2240" w:type="dxa"/>
            <w:gridSpan w:val="4"/>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财政拨款结转结余</w:t>
            </w:r>
          </w:p>
        </w:tc>
        <w:tc>
          <w:tcPr>
            <w:tcW w:w="1818" w:type="dxa"/>
            <w:gridSpan w:val="3"/>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非财政拨款结转结余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808" w:hRule="exact"/>
          <w:jc w:val="center"/>
        </w:trPr>
        <w:tc>
          <w:tcPr>
            <w:tcW w:w="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6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2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2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小计</w:t>
            </w:r>
          </w:p>
        </w:tc>
        <w:tc>
          <w:tcPr>
            <w:tcW w:w="5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一般公共预算</w:t>
            </w:r>
          </w:p>
        </w:tc>
        <w:tc>
          <w:tcPr>
            <w:tcW w:w="5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政府性基金预算</w:t>
            </w:r>
          </w:p>
        </w:tc>
        <w:tc>
          <w:tcPr>
            <w:tcW w:w="5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国有资本经营预算</w:t>
            </w:r>
          </w:p>
        </w:tc>
        <w:tc>
          <w:tcPr>
            <w:tcW w:w="5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小计</w:t>
            </w:r>
          </w:p>
        </w:tc>
        <w:tc>
          <w:tcPr>
            <w:tcW w:w="5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财政专户管理资金</w:t>
            </w:r>
          </w:p>
        </w:tc>
        <w:tc>
          <w:tcPr>
            <w:tcW w:w="698"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单位资金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808" w:hRule="exact"/>
          <w:jc w:val="center"/>
        </w:trPr>
        <w:tc>
          <w:tcPr>
            <w:tcW w:w="226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合计</w:t>
            </w:r>
          </w:p>
        </w:tc>
        <w:tc>
          <w:tcPr>
            <w:tcW w:w="6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27,266,217.17</w:t>
            </w:r>
          </w:p>
        </w:tc>
        <w:tc>
          <w:tcPr>
            <w:tcW w:w="64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27,266,217.17</w:t>
            </w:r>
          </w:p>
        </w:tc>
        <w:tc>
          <w:tcPr>
            <w:tcW w:w="6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27,266,217.11</w:t>
            </w: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0.06</w:t>
            </w: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9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808" w:hRule="exact"/>
          <w:jc w:val="center"/>
        </w:trPr>
        <w:tc>
          <w:tcPr>
            <w:tcW w:w="5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392101</w:t>
            </w:r>
          </w:p>
        </w:tc>
        <w:tc>
          <w:tcPr>
            <w:tcW w:w="16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天津经济技术开发区南港工业区产业促进办公室</w:t>
            </w:r>
          </w:p>
        </w:tc>
        <w:tc>
          <w:tcPr>
            <w:tcW w:w="6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27,266,217.17</w:t>
            </w:r>
          </w:p>
        </w:tc>
        <w:tc>
          <w:tcPr>
            <w:tcW w:w="64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27,266,217.17</w:t>
            </w:r>
          </w:p>
        </w:tc>
        <w:tc>
          <w:tcPr>
            <w:tcW w:w="6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27,266,217.11</w:t>
            </w: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0"/>
                <w:lang w:val="en-US" w:eastAsia="zh-CN" w:bidi="ar-SA"/>
              </w:rPr>
              <w:t>0.06</w:t>
            </w: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5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9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41" w:hRule="exact"/>
          <w:jc w:val="center"/>
        </w:trPr>
        <w:tc>
          <w:tcPr>
            <w:tcW w:w="13238" w:type="dxa"/>
            <w:gridSpan w:val="21"/>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8"/>
                <w:lang w:val="en-US" w:eastAsia="zh-CN" w:bidi="ar-SA"/>
              </w:rPr>
              <w:t>注：本表反映本年度取得的各项收入情况。财政专户管理资金是指教育收费；事业收入不含教育收费。</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sz w:val="30"/>
          <w:szCs w:val="30"/>
          <w:lang w:val="en-US" w:eastAsia="zh-CN"/>
        </w:rPr>
      </w:pPr>
      <w:r>
        <w:rPr>
          <w:rFonts w:hint="eastAsia" w:ascii="黑体" w:hAnsi="黑体" w:eastAsia="黑体"/>
          <w:sz w:val="30"/>
          <w:szCs w:val="30"/>
          <w:lang w:val="en-US" w:eastAsia="zh-CN"/>
        </w:rPr>
        <w:t>四、《支出决算表》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840"/>
        <w:gridCol w:w="1580"/>
        <w:gridCol w:w="1580"/>
        <w:gridCol w:w="1580"/>
        <w:gridCol w:w="1580"/>
        <w:gridCol w:w="1580"/>
        <w:gridCol w:w="15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559"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支出功能分类科目</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本年支出合计</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基本支出</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项目支出</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上缴上级支出</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经营支出</w:t>
            </w:r>
          </w:p>
        </w:tc>
        <w:tc>
          <w:tcPr>
            <w:tcW w:w="1538"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559" w:hRule="exact"/>
          <w:jc w:val="center"/>
        </w:trPr>
        <w:tc>
          <w:tcPr>
            <w:tcW w:w="9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科目编码</w:t>
            </w:r>
          </w:p>
        </w:tc>
        <w:tc>
          <w:tcPr>
            <w:tcW w:w="28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科目名称</w:t>
            </w: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合计</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27,266,217.11</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10,357,977.75</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16,908,239.36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一般公共服务支出</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12,199,575.11</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10,357,977.75</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20113</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商贸事务</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12,199,575.11</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10,357,977.75</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2011301</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行政运行</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10,357,977.75</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10,357,977.75</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2011308</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招商引资</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215</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资源勘探工业信息等支出</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21502</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制造业</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2150299</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其他制造业支出</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664" w:hRule="exact"/>
          <w:jc w:val="center"/>
        </w:trPr>
        <w:tc>
          <w:tcPr>
            <w:tcW w:w="13238" w:type="dxa"/>
            <w:gridSpan w:val="8"/>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注：本表反映本年度各项支出情况。</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b w:val="0"/>
          <w:sz w:val="30"/>
          <w:szCs w:val="30"/>
          <w:lang w:val="en-US" w:eastAsia="zh-CN"/>
        </w:rPr>
      </w:pPr>
      <w:r>
        <w:rPr>
          <w:rFonts w:hint="eastAsia" w:ascii="黑体" w:hAnsi="黑体" w:eastAsia="黑体"/>
          <w:sz w:val="30"/>
          <w:szCs w:val="30"/>
          <w:lang w:val="en-US" w:eastAsia="zh-CN"/>
        </w:rPr>
        <w:t>五、《财政拨款收入支出决算总表》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00"/>
        <w:gridCol w:w="1480"/>
        <w:gridCol w:w="2600"/>
        <w:gridCol w:w="1480"/>
        <w:gridCol w:w="1480"/>
        <w:gridCol w:w="1480"/>
        <w:gridCol w:w="15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468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收入</w:t>
            </w:r>
          </w:p>
        </w:tc>
        <w:tc>
          <w:tcPr>
            <w:tcW w:w="8558" w:type="dxa"/>
            <w:gridSpan w:val="5"/>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662" w:hRule="exact"/>
          <w:jc w:val="center"/>
        </w:trPr>
        <w:tc>
          <w:tcPr>
            <w:tcW w:w="32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项    目</w:t>
            </w:r>
          </w:p>
        </w:tc>
        <w:tc>
          <w:tcPr>
            <w:tcW w:w="14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金额</w:t>
            </w:r>
          </w:p>
        </w:tc>
        <w:tc>
          <w:tcPr>
            <w:tcW w:w="26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项    目</w:t>
            </w:r>
          </w:p>
        </w:tc>
        <w:tc>
          <w:tcPr>
            <w:tcW w:w="14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合计</w:t>
            </w:r>
          </w:p>
        </w:tc>
        <w:tc>
          <w:tcPr>
            <w:tcW w:w="14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一般公共预算财政拨款</w:t>
            </w:r>
          </w:p>
        </w:tc>
        <w:tc>
          <w:tcPr>
            <w:tcW w:w="14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政府性基金预算财政拨款</w:t>
            </w:r>
          </w:p>
        </w:tc>
        <w:tc>
          <w:tcPr>
            <w:tcW w:w="1518"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一、一般公共预算财政拨款</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一、一般公共服务支出</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12,199,575.11</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12,199,575.11</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二、政府性基金预算财政拨款</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二、公共安全支出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三、国有资本经营预算财政拨款</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三、教育支出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四、科学技术支出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五、文化旅游体育与传媒支出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六、社会保障和就业支出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七、卫生健康支出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八、节能环保支出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九、城乡社区支出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十、农林水支出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十一、交通运输支出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十二、资源勘探工业信息等支出</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15,066,642.00</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15,066,642.00</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十三、商业服务业等支出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十四、金融支出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十五、援助其他地区支出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十六、自然资源海洋气象等支出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十七、住房保障支出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十八、粮油物资储备支出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十九、国有资本经营预算支出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二十、灾害防治及应急管理支出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二十一、其他支出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二十二、债务付息支出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二十三、抗疫特别国债安排的支出</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5"/>
                <w:lang w:val="en-US" w:eastAsia="zh-CN" w:bidi="ar-SA"/>
              </w:rPr>
              <w:t>本年收入合计</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26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5"/>
                <w:lang w:val="en-US" w:eastAsia="zh-CN" w:bidi="ar-SA"/>
              </w:rPr>
              <w:t>本年支出合计</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 xml:space="preserve">   年初财政拨款结转和结余</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年末财政拨款结转和结余</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 xml:space="preserve">      一般公共预算财政拨款</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 xml:space="preserve">      政府性基金预算财政拨款</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 xml:space="preserve">      国有资本经营预算财政拨款</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6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31" w:hRule="exact"/>
          <w:jc w:val="center"/>
        </w:trPr>
        <w:tc>
          <w:tcPr>
            <w:tcW w:w="32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5"/>
                <w:lang w:val="en-US" w:eastAsia="zh-CN" w:bidi="ar-SA"/>
              </w:rPr>
              <w:t>合计</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26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5"/>
                <w:lang w:val="en-US" w:eastAsia="zh-CN" w:bidi="ar-SA"/>
              </w:rPr>
              <w:t>合计</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14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27,266,217.11</w:t>
            </w:r>
          </w:p>
        </w:tc>
        <w:tc>
          <w:tcPr>
            <w:tcW w:w="14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64" w:hRule="exact"/>
          <w:jc w:val="center"/>
        </w:trPr>
        <w:tc>
          <w:tcPr>
            <w:tcW w:w="13238" w:type="dxa"/>
            <w:gridSpan w:val="7"/>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5"/>
                <w:lang w:val="en-US" w:eastAsia="zh-CN" w:bidi="ar-SA"/>
              </w:rPr>
              <w:t>注：本表反映本年度一般公共预算财政拨款、政府性基金预算财政拨款和国有资本经营预算财政拨款的总收支和年末结转结余情况。</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b w:val="0"/>
          <w:bCs w:val="0"/>
          <w:sz w:val="30"/>
          <w:szCs w:val="30"/>
          <w:lang w:val="en-US" w:eastAsia="zh-CN"/>
        </w:rPr>
      </w:pPr>
      <w:r>
        <w:rPr>
          <w:rFonts w:hint="eastAsia" w:ascii="黑体" w:hAnsi="黑体" w:eastAsia="黑体"/>
          <w:sz w:val="30"/>
          <w:szCs w:val="30"/>
          <w:lang w:val="en-US" w:eastAsia="zh-CN"/>
        </w:rPr>
        <w:t>六、《一般公共预算财政拨款支出决算表》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3220"/>
        <w:gridCol w:w="1780"/>
        <w:gridCol w:w="1780"/>
        <w:gridCol w:w="1780"/>
        <w:gridCol w:w="1780"/>
        <w:gridCol w:w="18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694" w:hRule="exact"/>
          <w:jc w:val="center"/>
        </w:trPr>
        <w:tc>
          <w:tcPr>
            <w:tcW w:w="43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支出功能分类科目</w:t>
            </w:r>
          </w:p>
        </w:tc>
        <w:tc>
          <w:tcPr>
            <w:tcW w:w="17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合计</w:t>
            </w:r>
          </w:p>
        </w:tc>
        <w:tc>
          <w:tcPr>
            <w:tcW w:w="5340" w:type="dxa"/>
            <w:gridSpan w:val="3"/>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 xml:space="preserve">基本支出  </w:t>
            </w:r>
          </w:p>
        </w:tc>
        <w:tc>
          <w:tcPr>
            <w:tcW w:w="1818"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734" w:hRule="exact"/>
          <w:jc w:val="center"/>
        </w:trPr>
        <w:tc>
          <w:tcPr>
            <w:tcW w:w="10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科目编码</w:t>
            </w:r>
          </w:p>
        </w:tc>
        <w:tc>
          <w:tcPr>
            <w:tcW w:w="322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科目名称</w:t>
            </w:r>
          </w:p>
        </w:tc>
        <w:tc>
          <w:tcPr>
            <w:tcW w:w="17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小计</w:t>
            </w:r>
          </w:p>
        </w:tc>
        <w:tc>
          <w:tcPr>
            <w:tcW w:w="17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人员经费</w:t>
            </w:r>
          </w:p>
        </w:tc>
        <w:tc>
          <w:tcPr>
            <w:tcW w:w="17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公用经费</w:t>
            </w:r>
          </w:p>
        </w:tc>
        <w:tc>
          <w:tcPr>
            <w:tcW w:w="1818"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43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合计</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27,266,217.11</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10,357,977.75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10,024,064.65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333,913.10</w:t>
            </w: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16,908,239.36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201</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一般公共服务支出</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12,199,575.11</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10,357,977.75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10,024,064.65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333,913.10</w:t>
            </w: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1,841,597.36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20113</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商贸事务</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12,199,575.11</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10,357,977.75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10,024,064.65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333,913.10</w:t>
            </w: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1,841,597.36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2011301</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行政运行</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10,357,977.75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10,357,977.75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10,024,064.65</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333,913.10</w:t>
            </w:r>
          </w:p>
        </w:tc>
        <w:tc>
          <w:tcPr>
            <w:tcW w:w="18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2011308</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招商引资</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1,841,597.36</w:t>
            </w: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1,841,597.36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215</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资源勘探工业信息等支出</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15,066,642.00</w:t>
            </w: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15,066,642.00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21502</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制造业</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15,066,642.00</w:t>
            </w: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15,066,642.00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97" w:hRule="exact"/>
          <w:jc w:val="center"/>
        </w:trPr>
        <w:tc>
          <w:tcPr>
            <w:tcW w:w="10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2150299</w:t>
            </w:r>
          </w:p>
        </w:tc>
        <w:tc>
          <w:tcPr>
            <w:tcW w:w="322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其他制造业支出</w:t>
            </w:r>
          </w:p>
        </w:tc>
        <w:tc>
          <w:tcPr>
            <w:tcW w:w="17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15,066,642.00</w:t>
            </w: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7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8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15,066,642.00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754" w:hRule="exact"/>
          <w:jc w:val="center"/>
        </w:trPr>
        <w:tc>
          <w:tcPr>
            <w:tcW w:w="13238" w:type="dxa"/>
            <w:gridSpan w:val="7"/>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9"/>
                <w:lang w:val="en-US" w:eastAsia="zh-CN" w:bidi="ar-SA"/>
              </w:rPr>
              <w:t>注：本表反映本年度一般公共预算财政拨款支出情况。</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ascii="黑体" w:hAnsi="黑体" w:eastAsia="黑体"/>
          <w:bCs w:val="0"/>
          <w:sz w:val="30"/>
          <w:szCs w:val="30"/>
          <w:lang w:val="en-US" w:eastAsia="zh-CN"/>
        </w:rPr>
      </w:pPr>
      <w:r>
        <w:rPr>
          <w:rFonts w:hint="eastAsia" w:ascii="黑体" w:hAnsi="黑体" w:eastAsia="黑体"/>
          <w:sz w:val="30"/>
          <w:szCs w:val="30"/>
          <w:lang w:val="en-US" w:eastAsia="zh-CN"/>
        </w:rPr>
        <w:t>七、《一般公共预算财政拨款基本支出决算表》</w:t>
      </w:r>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40"/>
        <w:gridCol w:w="2340"/>
        <w:gridCol w:w="1220"/>
        <w:gridCol w:w="640"/>
        <w:gridCol w:w="2340"/>
        <w:gridCol w:w="1220"/>
        <w:gridCol w:w="640"/>
        <w:gridCol w:w="2980"/>
        <w:gridCol w:w="12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4200" w:type="dxa"/>
            <w:gridSpan w:val="3"/>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人员经费</w:t>
            </w:r>
          </w:p>
        </w:tc>
        <w:tc>
          <w:tcPr>
            <w:tcW w:w="9038" w:type="dxa"/>
            <w:gridSpan w:val="6"/>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科目编码</w:t>
            </w:r>
          </w:p>
        </w:tc>
        <w:tc>
          <w:tcPr>
            <w:tcW w:w="23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科目名称</w:t>
            </w:r>
          </w:p>
        </w:tc>
        <w:tc>
          <w:tcPr>
            <w:tcW w:w="122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金额</w:t>
            </w:r>
          </w:p>
        </w:tc>
        <w:tc>
          <w:tcPr>
            <w:tcW w:w="6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科目编码</w:t>
            </w:r>
          </w:p>
        </w:tc>
        <w:tc>
          <w:tcPr>
            <w:tcW w:w="23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科目名称</w:t>
            </w:r>
          </w:p>
        </w:tc>
        <w:tc>
          <w:tcPr>
            <w:tcW w:w="122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金额</w:t>
            </w:r>
          </w:p>
        </w:tc>
        <w:tc>
          <w:tcPr>
            <w:tcW w:w="6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科目编码</w:t>
            </w:r>
          </w:p>
        </w:tc>
        <w:tc>
          <w:tcPr>
            <w:tcW w:w="29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科目名称</w:t>
            </w:r>
          </w:p>
        </w:tc>
        <w:tc>
          <w:tcPr>
            <w:tcW w:w="1218"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301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工资福利支出</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10,024,064.65</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302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商品和服务支出</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333,913.10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30703</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国内债务发行费用</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基本工资</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1,801,200.00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办公费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146,638.50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30704</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国外债务发行费用</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津贴补贴</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5,110,235.14</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印刷费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310</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资本性支出</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30103</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奖金</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30203</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咨询费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31001</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房屋建筑物购建</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30106</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伙食补助费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30204</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手续费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920.00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31002</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办公设备购置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30107</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绩效工资</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30205</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水费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4,678.00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31003</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专用设备购置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30108</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机关事业单位基本养老保险缴费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482,611.20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30206</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电费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31005</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基础设施建设</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30109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职业年金缴费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241,305.60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30207</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邮电费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950.60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31006</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大型修缮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30110</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职工基本医疗保险缴费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286,550.40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30208</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取暖费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31007</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信息网络及软件购置更新</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30111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公务员医疗补助缴费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30209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物业管理费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31008</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物资储备</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30112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其他社会保障缴费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61,862.31</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差旅费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6,730.00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31009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土地补偿</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30113</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住房公积金</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2,040,300.00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因公出国（境）费用</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8,826.00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31010</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安置补助</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30114</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医疗费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30213</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维修(护)费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31011</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地上附着物和青苗补偿</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30199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其他工资福利支出</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30214</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租赁费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31012</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拆迁补偿</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303</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对个人和家庭的补助</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30215</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会议费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31013</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公务用车购置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离休费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30216</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培训费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1,800.00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31019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其他交通工具购置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退休费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30217</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公务接待费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31021</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文物和陈列品购置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30303</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退职（役）费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30218</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专用材料费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31022</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无形资产购置</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30304</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抚恤金</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30224</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被装购置费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31099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其他资本性支出</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30305</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生活补助</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30225</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专用燃料费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312</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对企业补助</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30306</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救济费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30226</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劳务费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31201</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资本金注入</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30307</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医疗费补助</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30227</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委托业务费</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29,450.00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31203</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政府投资基金股权投资</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30308</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助学金</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30228</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工会经费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31204</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费用补贴</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30309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奖励金</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30229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福利费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31205</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利息补贴</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30310</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个人农业生产补贴</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30231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公务用车运行维护费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31206</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其他资本性补助</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30311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代缴社会保险费</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30239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其他交通费用</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133,920.00</w:t>
            </w: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31299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其他对企业补助</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30399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其他对个人和家庭的补助</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30240</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税金及附加费用</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399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其他支出</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3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30299</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其他商品和服务支出</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39907</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国家赔偿费用支出</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3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307</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债务利息及费用支出</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39908</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对民间非营利组织和群众性自治组织补贴</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3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30701</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国内债务付息</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39909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经常性赠与</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3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30702</w:t>
            </w:r>
          </w:p>
        </w:tc>
        <w:tc>
          <w:tcPr>
            <w:tcW w:w="23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国外债务付息</w:t>
            </w: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39910</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资本性赠与</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6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3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3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6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39999</w:t>
            </w:r>
          </w:p>
        </w:tc>
        <w:tc>
          <w:tcPr>
            <w:tcW w:w="298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 xml:space="preserve">  其他支出</w:t>
            </w:r>
          </w:p>
        </w:tc>
        <w:tc>
          <w:tcPr>
            <w:tcW w:w="1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79" w:hRule="exact"/>
          <w:jc w:val="center"/>
        </w:trPr>
        <w:tc>
          <w:tcPr>
            <w:tcW w:w="298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人员经费合计</w:t>
            </w:r>
          </w:p>
        </w:tc>
        <w:tc>
          <w:tcPr>
            <w:tcW w:w="122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10,024,064.65</w:t>
            </w:r>
          </w:p>
        </w:tc>
        <w:tc>
          <w:tcPr>
            <w:tcW w:w="7820" w:type="dxa"/>
            <w:gridSpan w:val="5"/>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i w:val="0"/>
                <w:color w:val="000000"/>
                <w:sz w:val="14"/>
                <w:lang w:val="en-US" w:eastAsia="zh-CN" w:bidi="ar-SA"/>
              </w:rPr>
              <w:t>公用经费合计</w:t>
            </w:r>
          </w:p>
        </w:tc>
        <w:tc>
          <w:tcPr>
            <w:tcW w:w="1218"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333,913.10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576" w:hRule="exact"/>
          <w:jc w:val="center"/>
        </w:trPr>
        <w:tc>
          <w:tcPr>
            <w:tcW w:w="13238" w:type="dxa"/>
            <w:gridSpan w:val="9"/>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4"/>
                <w:lang w:val="en-US" w:eastAsia="zh-CN" w:bidi="ar-SA"/>
              </w:rPr>
              <w:t>注：本表反映本年度一般公共预算财政拨款基本支出明细情况。</w:t>
            </w:r>
          </w:p>
        </w:tc>
      </w:tr>
    </w:tbl>
    <w:p>
      <w:pPr>
        <w:pStyle w:val="7"/>
        <w:wordWrap w:val="0"/>
        <w:spacing w:before="0" w:after="0" w:line="800" w:lineRule="exact"/>
        <w:ind w:firstLine="643" w:firstLineChars="200"/>
        <w:rPr>
          <w:rFonts w:hint="eastAsia" w:ascii="黑体" w:hAnsi="黑体" w:eastAsia="黑体"/>
          <w:bCs w:val="0"/>
          <w:sz w:val="30"/>
          <w:szCs w:val="30"/>
          <w:lang w:val="en-US" w:eastAsia="zh-CN"/>
        </w:rPr>
      </w:pPr>
      <w:r>
        <w:rPr/>
        <w:br w:type="page" w:clear="none"/>
      </w:r>
      <w:bookmarkStart w:id="21" w:name="_Toc2050619938"/>
      <w:bookmarkStart w:id="22" w:name="_Toc1059543692"/>
      <w:bookmarkStart w:id="23" w:name="_Toc628211258"/>
      <w:bookmarkStart w:id="24" w:name="_Toc1972277765"/>
      <w:r>
        <w:rPr>
          <w:rFonts w:hint="eastAsia" w:ascii="黑体" w:hAnsi="黑体" w:eastAsia="黑体"/>
          <w:sz w:val="30"/>
          <w:szCs w:val="30"/>
          <w:lang w:val="en-US" w:eastAsia="zh-CN"/>
        </w:rPr>
        <w:t>八、《政府性基金预算财政拨款收入支出决算表》</w:t>
      </w:r>
      <w:bookmarkEnd w:id="21"/>
      <w:bookmarkEnd w:id="22"/>
      <w:bookmarkEnd w:id="23"/>
      <w:bookmarkEnd w:id="24"/>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840"/>
        <w:gridCol w:w="1580"/>
        <w:gridCol w:w="1580"/>
        <w:gridCol w:w="1580"/>
        <w:gridCol w:w="1580"/>
        <w:gridCol w:w="1580"/>
        <w:gridCol w:w="15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支出功能分类科目</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年初结转和结余</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本年收入</w:t>
            </w:r>
          </w:p>
        </w:tc>
        <w:tc>
          <w:tcPr>
            <w:tcW w:w="4740" w:type="dxa"/>
            <w:gridSpan w:val="3"/>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本年支出</w:t>
            </w:r>
          </w:p>
        </w:tc>
        <w:tc>
          <w:tcPr>
            <w:tcW w:w="1538"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734" w:hRule="exact"/>
          <w:jc w:val="center"/>
        </w:trPr>
        <w:tc>
          <w:tcPr>
            <w:tcW w:w="9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科目编码</w:t>
            </w:r>
          </w:p>
        </w:tc>
        <w:tc>
          <w:tcPr>
            <w:tcW w:w="28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科目名称</w:t>
            </w: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小计</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 xml:space="preserve">基本支出  </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项目支出</w:t>
            </w:r>
          </w:p>
        </w:tc>
        <w:tc>
          <w:tcPr>
            <w:tcW w:w="1538"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合计</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8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979" w:hRule="exact"/>
          <w:jc w:val="center"/>
        </w:trPr>
        <w:tc>
          <w:tcPr>
            <w:tcW w:w="13238" w:type="dxa"/>
            <w:gridSpan w:val="8"/>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注：本表反映本年度政府性基金预算财政拨款收入、支出及结转和结余情况。</w:t>
            </w:r>
          </w:p>
        </w:tc>
      </w:tr>
    </w:tbl>
    <w:p>
      <w:pPr>
        <w:wordWrap w:val="0"/>
        <w:spacing w:line="240" w:lineRule="atLeast"/>
        <w:ind w:firstLine="420" w:firstLineChars="200"/>
        <w:rPr>
          <w:rFonts w:ascii="黑体" w:hAnsi="仿宋" w:eastAsia="黑体"/>
          <w:sz w:val="32"/>
          <w:szCs w:val="32"/>
          <w:lang w:val="en-US" w:eastAsia="zh-CN"/>
        </w:rPr>
      </w:pPr>
      <w:r>
        <w:rPr>
          <w:rFonts w:hint="eastAsia" w:ascii="黑体" w:hAnsi="仿宋" w:eastAsia="黑体"/>
          <w:sz w:val="21"/>
          <w:szCs w:val="21"/>
          <w:lang w:val="en-US" w:eastAsia="zh-CN"/>
        </w:rPr>
        <w:t>天津经济技术开发区南港工业区产业促进办公室2024年度政府性基金预算财政拨款收入支出决算表为空表。</w:t>
      </w:r>
      <w:bookmarkStart w:id="25" w:name="_Toc1317004554"/>
      <w:bookmarkStart w:id="26" w:name="_Toc1951730910"/>
      <w:bookmarkStart w:id="27" w:name="_Toc1662304910"/>
      <w:bookmarkStart w:id="28" w:name="_Toc816430520"/>
    </w:p>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b w:val="0"/>
          <w:sz w:val="30"/>
          <w:szCs w:val="30"/>
          <w:lang w:val="en-US" w:eastAsia="zh-CN"/>
        </w:rPr>
      </w:pPr>
      <w:r>
        <w:rPr>
          <w:rFonts w:hint="eastAsia" w:ascii="黑体" w:hAnsi="黑体" w:eastAsia="黑体"/>
          <w:sz w:val="30"/>
          <w:szCs w:val="30"/>
          <w:lang w:val="en-US" w:eastAsia="zh-CN"/>
        </w:rPr>
        <w:t>九、《国有资本经营预算财政拨款收入支出决算表》</w:t>
      </w:r>
      <w:bookmarkEnd w:id="25"/>
      <w:bookmarkEnd w:id="26"/>
      <w:bookmarkEnd w:id="27"/>
      <w:bookmarkEnd w:id="28"/>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840"/>
        <w:gridCol w:w="1580"/>
        <w:gridCol w:w="1580"/>
        <w:gridCol w:w="1580"/>
        <w:gridCol w:w="1580"/>
        <w:gridCol w:w="1580"/>
        <w:gridCol w:w="15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支出功能分类科目</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年初结转和结余</w:t>
            </w:r>
          </w:p>
        </w:tc>
        <w:tc>
          <w:tcPr>
            <w:tcW w:w="158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本年收入</w:t>
            </w:r>
          </w:p>
        </w:tc>
        <w:tc>
          <w:tcPr>
            <w:tcW w:w="4740" w:type="dxa"/>
            <w:gridSpan w:val="3"/>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本年支出</w:t>
            </w:r>
          </w:p>
        </w:tc>
        <w:tc>
          <w:tcPr>
            <w:tcW w:w="1538"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734" w:hRule="exact"/>
          <w:jc w:val="center"/>
        </w:trPr>
        <w:tc>
          <w:tcPr>
            <w:tcW w:w="96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科目编码</w:t>
            </w:r>
          </w:p>
        </w:tc>
        <w:tc>
          <w:tcPr>
            <w:tcW w:w="284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科目名称</w:t>
            </w: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合计</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 xml:space="preserve">基本支出  </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项目支出</w:t>
            </w:r>
          </w:p>
        </w:tc>
        <w:tc>
          <w:tcPr>
            <w:tcW w:w="1538"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合计</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84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979" w:hRule="exact"/>
          <w:jc w:val="center"/>
        </w:trPr>
        <w:tc>
          <w:tcPr>
            <w:tcW w:w="13238" w:type="dxa"/>
            <w:gridSpan w:val="8"/>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注：本表反映本年度国有资本经营预算财政拨款收入、支出及结转和结余情况。</w:t>
            </w:r>
          </w:p>
        </w:tc>
      </w:tr>
    </w:tbl>
    <w:p>
      <w:pPr>
        <w:wordWrap w:val="0"/>
        <w:spacing w:line="240" w:lineRule="atLeast"/>
        <w:ind w:firstLine="420" w:firstLineChars="200"/>
        <w:rPr>
          <w:rFonts w:ascii="黑体" w:hAnsi="仿宋" w:eastAsia="黑体"/>
          <w:sz w:val="32"/>
          <w:szCs w:val="32"/>
          <w:lang w:val="en-US" w:eastAsia="zh-CN"/>
        </w:rPr>
      </w:pPr>
      <w:r>
        <w:rPr>
          <w:rFonts w:hint="eastAsia" w:ascii="黑体" w:hAnsi="仿宋" w:eastAsia="黑体"/>
          <w:sz w:val="21"/>
          <w:szCs w:val="21"/>
          <w:lang w:val="en-US" w:eastAsia="zh-CN"/>
        </w:rPr>
        <w:t>天津经济技术开发区南港工业区产业促进办公室2024年度国有资本经营预算财政拨款收入支出决算表为空表。</w:t>
      </w:r>
      <w:bookmarkStart w:id="29" w:name="_Toc781589449"/>
      <w:bookmarkStart w:id="30" w:name="_Toc1743858547"/>
      <w:bookmarkStart w:id="31" w:name="_Toc2076180092"/>
      <w:bookmarkStart w:id="32" w:name="_Toc1474728957"/>
    </w:p>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p>
    <w:p>
      <w:pPr>
        <w:pStyle w:val="7"/>
        <w:wordWrap w:val="0"/>
        <w:spacing w:before="0" w:after="0" w:line="800" w:lineRule="exact"/>
        <w:ind w:firstLine="602" w:firstLineChars="200"/>
        <w:rPr>
          <w:rFonts w:hint="eastAsia" w:ascii="黑体" w:hAnsi="黑体" w:eastAsia="黑体"/>
          <w:bCs w:val="0"/>
          <w:sz w:val="30"/>
          <w:szCs w:val="30"/>
          <w:lang w:val="en-US" w:eastAsia="zh-CN"/>
        </w:rPr>
      </w:pPr>
      <w:r>
        <w:rPr>
          <w:rFonts w:hint="eastAsia" w:ascii="黑体" w:hAnsi="黑体" w:eastAsia="黑体"/>
          <w:sz w:val="30"/>
          <w:szCs w:val="30"/>
          <w:lang w:val="en-US" w:eastAsia="zh-CN"/>
        </w:rPr>
        <w:t>十、《财政拨款“三公”经费支出决算表》</w:t>
      </w:r>
      <w:bookmarkEnd w:id="29"/>
      <w:bookmarkEnd w:id="30"/>
      <w:bookmarkEnd w:id="31"/>
      <w:bookmarkEnd w:id="32"/>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0"/>
        <w:gridCol w:w="2200"/>
        <w:gridCol w:w="2200"/>
        <w:gridCol w:w="2200"/>
        <w:gridCol w:w="2220"/>
        <w:gridCol w:w="22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1009" w:hRule="exact"/>
          <w:jc w:val="center"/>
        </w:trPr>
        <w:tc>
          <w:tcPr>
            <w:tcW w:w="220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合计</w:t>
            </w:r>
          </w:p>
        </w:tc>
        <w:tc>
          <w:tcPr>
            <w:tcW w:w="220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因公出国（境）费</w:t>
            </w:r>
          </w:p>
        </w:tc>
        <w:tc>
          <w:tcPr>
            <w:tcW w:w="6620" w:type="dxa"/>
            <w:gridSpan w:val="3"/>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公务用车购置及运行维护费</w:t>
            </w:r>
          </w:p>
        </w:tc>
        <w:tc>
          <w:tcPr>
            <w:tcW w:w="2218"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公务接待费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1034" w:hRule="exact"/>
          <w:jc w:val="center"/>
        </w:trPr>
        <w:tc>
          <w:tcPr>
            <w:tcW w:w="220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0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小计</w:t>
            </w:r>
          </w:p>
        </w:tc>
        <w:tc>
          <w:tcPr>
            <w:tcW w:w="220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公务用车购置费</w:t>
            </w:r>
          </w:p>
        </w:tc>
        <w:tc>
          <w:tcPr>
            <w:tcW w:w="222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公务用车运行维护费</w:t>
            </w:r>
          </w:p>
        </w:tc>
        <w:tc>
          <w:tcPr>
            <w:tcW w:w="2218"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934" w:hRule="exact"/>
          <w:jc w:val="center"/>
        </w:trPr>
        <w:tc>
          <w:tcPr>
            <w:tcW w:w="220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285,494.44</w:t>
            </w:r>
          </w:p>
        </w:tc>
        <w:tc>
          <w:tcPr>
            <w:tcW w:w="220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285,494.44</w:t>
            </w:r>
          </w:p>
        </w:tc>
        <w:tc>
          <w:tcPr>
            <w:tcW w:w="2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0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2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21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959" w:hRule="exact"/>
          <w:jc w:val="center"/>
        </w:trPr>
        <w:tc>
          <w:tcPr>
            <w:tcW w:w="13238" w:type="dxa"/>
            <w:gridSpan w:val="6"/>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24"/>
                <w:lang w:val="en-US" w:eastAsia="zh-CN" w:bidi="ar-SA"/>
              </w:rPr>
              <w:t>注：本表反映本年度“三公”经费支出决算情况。其中决算数是包括当年财政拨款和以前年度结转资金安排的实际支出。</w:t>
            </w:r>
          </w:p>
        </w:tc>
      </w:tr>
    </w:tbl>
    <w:p>
      <w:pPr>
        <w:pStyle w:val="7"/>
        <w:wordWrap w:val="0"/>
        <w:spacing w:before="0" w:after="0" w:line="800" w:lineRule="exact"/>
        <w:rPr>
          <w:rFonts w:hint="eastAsia" w:ascii="黑体" w:hAnsi="黑体" w:eastAsia="黑体"/>
          <w:b w:val="0"/>
          <w:sz w:val="30"/>
          <w:szCs w:val="30"/>
          <w:lang w:val="en-US" w:eastAsia="zh-CN"/>
        </w:rPr>
        <w:sectPr>
          <w:pgSz w:w="16838" w:h="11906" w:orient="landscape"/>
          <w:pgMar w:top="1440" w:right="1800" w:bottom="1440" w:left="1800" w:header="851" w:footer="992" w:gutter="0"/>
          <w:cols w:space="720" w:num="1"/>
          <w:docGrid w:type="lines" w:linePitch="312" w:charSpace="0"/>
        </w:sectPr>
      </w:pPr>
      <w:bookmarkStart w:id="33" w:name="_Toc1660810272"/>
    </w:p>
    <w:p>
      <w:pPr>
        <w:pStyle w:val="7"/>
        <w:wordWrap w:val="0"/>
        <w:spacing w:before="0" w:after="0" w:line="800" w:lineRule="exact"/>
        <w:ind w:firstLine="602" w:firstLineChars="200"/>
        <w:rPr>
          <w:rFonts w:hint="eastAsia" w:ascii="黑体" w:hAnsi="黑体" w:eastAsia="黑体"/>
          <w:sz w:val="30"/>
          <w:szCs w:val="30"/>
          <w:lang w:val="en-US" w:eastAsia="zh-CN"/>
        </w:rPr>
      </w:pPr>
      <w:bookmarkStart w:id="34" w:name="_Toc2044509788"/>
      <w:bookmarkStart w:id="35" w:name="_Toc173785173"/>
      <w:bookmarkStart w:id="36" w:name="_Toc16400644"/>
      <w:r>
        <w:rPr>
          <w:rFonts w:hint="eastAsia" w:ascii="黑体" w:hAnsi="黑体" w:eastAsia="黑体"/>
          <w:sz w:val="30"/>
          <w:szCs w:val="30"/>
          <w:lang w:val="en-US" w:eastAsia="zh-CN"/>
        </w:rPr>
        <w:t>十一、《项目支出决算表》</w:t>
      </w:r>
      <w:bookmarkEnd w:id="34"/>
      <w:bookmarkEnd w:id="35"/>
      <w:bookmarkEnd w:id="36"/>
    </w:p>
    <w:tbl>
      <w:tblPr>
        <w:tblStyle w:val="2"/>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619"/>
        <w:gridCol w:w="2000"/>
        <w:gridCol w:w="561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13238" w:type="dxa"/>
            <w:gridSpan w:val="3"/>
            <w:noWrap w:val="0"/>
            <w:vAlign w:val="top"/>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wBefore w:w="0" w:type="dxa"/>
          <w:wAfter w:w="0" w:type="dxa"/>
          <w:trHeight w:val="0" w:hRule="atLeast"/>
          <w:jc w:val="center"/>
        </w:trPr>
        <w:tc>
          <w:tcPr>
            <w:tcW w:w="5619" w:type="dxa"/>
            <w:noWrap w:val="0"/>
            <w:vAlign w:val="top"/>
          </w:tcPr>
          <w:p>
            <w:pPr>
              <w:widowControl w:val="0"/>
              <w:adjustRightIn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部门：天津经济技术开发区南港工业区产业促进办公室</w:t>
            </w:r>
          </w:p>
        </w:tc>
        <w:tc>
          <w:tcPr>
            <w:tcW w:w="2000" w:type="dxa"/>
            <w:noWrap w:val="0"/>
            <w:vAlign w:val="top"/>
          </w:tcPr>
          <w:p>
            <w:pPr>
              <w:widowControl w:val="0"/>
              <w:adjustRightInd w:val="0"/>
              <w:spacing w:line="360" w:lineRule="atLeast"/>
              <w:jc w:val="center"/>
              <w:textAlignment w:val="baseline"/>
              <w:rPr>
                <w:rFonts w:ascii="Times New Roman" w:hAnsi="Times New Roman" w:eastAsia="宋体" w:cs="Times New Roman"/>
                <w:sz w:val="24"/>
                <w:lang w:val="en-US" w:eastAsia="zh-CN" w:bidi="ar-SA"/>
              </w:rPr>
            </w:pPr>
          </w:p>
        </w:tc>
        <w:tc>
          <w:tcPr>
            <w:tcW w:w="5619" w:type="dxa"/>
            <w:noWrap w:val="0"/>
            <w:vAlign w:val="top"/>
          </w:tcPr>
          <w:p>
            <w:pPr>
              <w:widowControl w:val="0"/>
              <w:adjustRightIn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sz w:val="20"/>
                <w:lang w:val="en-US" w:eastAsia="zh-CN" w:bidi="ar-SA"/>
              </w:rPr>
              <w:t>单位：元</w:t>
            </w:r>
          </w:p>
        </w:tc>
      </w:tr>
    </w:tbl>
    <w:p>
      <w:pPr>
        <w:snapToGrid w:val="0"/>
        <w:spacing w:before="0" w:after="0" w:line="0" w:lineRule="auto"/>
        <w:rPr>
          <w:lang w:val="en-US" w:eastAsia="zh-CN"/>
        </w:rPr>
      </w:pPr>
      <w:r>
        <w:rPr>
          <w:sz w:val="8"/>
          <w:lang w:val="en-US" w:eastAsia="zh-CN"/>
        </w:rPr>
        <w:t xml:space="preserve"> </w:t>
      </w:r>
    </w:p>
    <w:tbl>
      <w:tblPr>
        <w:tblStyle w:val="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840"/>
        <w:gridCol w:w="1580"/>
        <w:gridCol w:w="1580"/>
        <w:gridCol w:w="1580"/>
        <w:gridCol w:w="1580"/>
        <w:gridCol w:w="1580"/>
        <w:gridCol w:w="15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科目编码</w:t>
            </w:r>
          </w:p>
        </w:tc>
        <w:tc>
          <w:tcPr>
            <w:tcW w:w="2840" w:type="dxa"/>
            <w:vMerge w:val="restart"/>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科目名称</w:t>
            </w:r>
          </w:p>
        </w:tc>
        <w:tc>
          <w:tcPr>
            <w:tcW w:w="9438" w:type="dxa"/>
            <w:gridSpan w:val="6"/>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734" w:hRule="exact"/>
          <w:jc w:val="center"/>
        </w:trPr>
        <w:tc>
          <w:tcPr>
            <w:tcW w:w="96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2840" w:type="dxa"/>
            <w:vMerge w:val="continue"/>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合  计</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一般公共预算</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政府性基金预算</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国有资本经营预算</w:t>
            </w:r>
          </w:p>
        </w:tc>
        <w:tc>
          <w:tcPr>
            <w:tcW w:w="1580"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财政专户管理资金</w:t>
            </w:r>
          </w:p>
        </w:tc>
        <w:tc>
          <w:tcPr>
            <w:tcW w:w="1538" w:type="dxa"/>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单位资金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3800" w:type="dxa"/>
            <w:gridSpan w:val="2"/>
            <w:noWrap w:val="0"/>
            <w:vAlign w:val="center"/>
          </w:tcPr>
          <w:p>
            <w:pPr>
              <w:widowControl w:val="0"/>
              <w:adjustRightInd w:val="0"/>
              <w:snapToGrid w:val="0"/>
              <w:spacing w:line="360" w:lineRule="atLeast"/>
              <w:jc w:val="center"/>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合计</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16,908,239.36</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16,908,239.36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一般公共服务支出</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20113</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商贸事务</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2011308</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招商引资</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1,841,597.36</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215</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资源勘探工业信息等支出</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21502</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制造业</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350" w:hRule="exact"/>
          <w:jc w:val="center"/>
        </w:trPr>
        <w:tc>
          <w:tcPr>
            <w:tcW w:w="96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2150299</w:t>
            </w:r>
          </w:p>
        </w:tc>
        <w:tc>
          <w:tcPr>
            <w:tcW w:w="2840" w:type="dxa"/>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其他制造业支出</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napToGrid w:val="0"/>
              <w:spacing w:line="360" w:lineRule="atLeast"/>
              <w:jc w:val="righ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15,066,642.00</w:t>
            </w: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80"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c>
          <w:tcPr>
            <w:tcW w:w="1538" w:type="dxa"/>
            <w:noWrap w:val="0"/>
            <w:vAlign w:val="center"/>
          </w:tcPr>
          <w:p>
            <w:pPr>
              <w:widowControl w:val="0"/>
              <w:adjustRightInd w:val="0"/>
              <w:spacing w:line="360" w:lineRule="atLeast"/>
              <w:textAlignment w:val="baseline"/>
              <w:rPr>
                <w:rFonts w:ascii="Times New Roman" w:hAnsi="Times New Roman" w:eastAsia="宋体" w:cs="Times New Roman"/>
                <w:sz w:val="24"/>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wBefore w:w="0" w:type="dxa"/>
          <w:wAfter w:w="0" w:type="dxa"/>
          <w:trHeight w:val="699" w:hRule="exact"/>
          <w:jc w:val="center"/>
        </w:trPr>
        <w:tc>
          <w:tcPr>
            <w:tcW w:w="13238" w:type="dxa"/>
            <w:gridSpan w:val="8"/>
            <w:tcBorders>
              <w:left w:val="nil"/>
              <w:bottom w:val="nil"/>
              <w:right w:val="nil"/>
            </w:tcBorders>
            <w:noWrap w:val="0"/>
            <w:vAlign w:val="center"/>
          </w:tcPr>
          <w:p>
            <w:pPr>
              <w:widowControl w:val="0"/>
              <w:adjustRightInd w:val="0"/>
              <w:snapToGrid w:val="0"/>
              <w:spacing w:line="360" w:lineRule="atLeast"/>
              <w:jc w:val="left"/>
              <w:textAlignment w:val="baseline"/>
              <w:rPr>
                <w:rFonts w:ascii="Times New Roman" w:hAnsi="Times New Roman" w:eastAsia="宋体" w:cs="Times New Roman"/>
                <w:sz w:val="24"/>
                <w:lang w:val="en-US" w:eastAsia="zh-CN" w:bidi="ar-SA"/>
              </w:rPr>
            </w:pPr>
            <w:r>
              <w:rPr>
                <w:rFonts w:ascii="宋体" w:hAnsi="宋体" w:eastAsia="宋体" w:cs="宋体"/>
                <w:b w:val="0"/>
                <w:i w:val="0"/>
                <w:color w:val="000000"/>
                <w:sz w:val="16"/>
                <w:lang w:val="en-US" w:eastAsia="zh-CN" w:bidi="ar-SA"/>
              </w:rPr>
              <w:t>注：本表反映本年度项目支出决算情况，其中支出数包括当年预算资金和以前年度结转资金安排的合计实际支出。</w:t>
            </w:r>
          </w:p>
        </w:tc>
      </w:tr>
    </w:tbl>
    <w:p>
      <w:pPr>
        <w:wordWrap w:val="0"/>
        <w:rPr>
          <w:rFonts w:hint="eastAsia"/>
          <w:lang w:val="en-US" w:eastAsia="zh-CN"/>
        </w:rPr>
        <w:sectPr>
          <w:pgSz w:w="16838" w:h="11906" w:orient="landscape"/>
          <w:pgMar w:top="1440" w:right="1800" w:bottom="1440" w:left="1800" w:header="851" w:footer="992" w:gutter="0"/>
          <w:cols w:space="720" w:num="1"/>
          <w:docGrid w:type="lines" w:linePitch="312" w:charSpace="0"/>
        </w:sectPr>
      </w:pPr>
    </w:p>
    <w:bookmarkEnd w:id="33"/>
    <w:p>
      <w:pPr>
        <w:pStyle w:val="6"/>
        <w:wordWrap w:val="0"/>
        <w:spacing w:before="0" w:after="0" w:line="600" w:lineRule="exact"/>
        <w:jc w:val="center"/>
        <w:rPr>
          <w:rFonts w:hint="eastAsia" w:ascii="方正小标宋简体" w:hAnsi="方正小标宋简体" w:eastAsia="方正小标宋简体" w:cs="方正小标宋简体"/>
          <w:b w:val="0"/>
          <w:bCs/>
          <w:sz w:val="30"/>
          <w:szCs w:val="30"/>
          <w:lang w:val="en-US" w:eastAsia="zh-CN"/>
        </w:rPr>
      </w:pPr>
      <w:bookmarkStart w:id="37" w:name="_Toc190171269"/>
      <w:bookmarkStart w:id="38" w:name="_Toc229642691"/>
      <w:bookmarkStart w:id="39" w:name="_Toc245797798"/>
      <w:bookmarkStart w:id="40" w:name="_Toc767716892"/>
      <w:r>
        <w:rPr>
          <w:rFonts w:hint="eastAsia" w:ascii="方正小标宋简体" w:hAnsi="方正小标宋简体" w:eastAsia="方正小标宋简体" w:cs="方正小标宋简体"/>
          <w:b w:val="0"/>
          <w:bCs/>
          <w:lang w:val="en-US" w:eastAsia="zh-CN"/>
        </w:rPr>
        <w:t>第三部分 2024年度部门决算情况说明</w:t>
      </w:r>
      <w:bookmarkEnd w:id="37"/>
      <w:bookmarkEnd w:id="38"/>
      <w:bookmarkEnd w:id="39"/>
      <w:bookmarkEnd w:id="40"/>
    </w:p>
    <w:p>
      <w:pPr>
        <w:pStyle w:val="7"/>
        <w:wordWrap w:val="0"/>
        <w:spacing w:before="0" w:after="0" w:line="600" w:lineRule="exact"/>
        <w:ind w:firstLine="602" w:firstLineChars="200"/>
        <w:rPr>
          <w:rFonts w:hint="eastAsia" w:ascii="黑体" w:hAnsi="黑体" w:eastAsia="黑体"/>
          <w:bCs w:val="0"/>
          <w:sz w:val="30"/>
          <w:szCs w:val="30"/>
          <w:lang w:val="en-US" w:eastAsia="zh-CN"/>
        </w:rPr>
      </w:pPr>
      <w:bookmarkStart w:id="41" w:name="_Toc752851347"/>
      <w:bookmarkStart w:id="42" w:name="_Toc936052668"/>
      <w:bookmarkStart w:id="43" w:name="_Toc1512537805"/>
      <w:bookmarkStart w:id="44" w:name="_Toc576593978"/>
      <w:r>
        <w:rPr>
          <w:rFonts w:hint="eastAsia" w:ascii="黑体" w:hAnsi="黑体" w:eastAsia="黑体"/>
          <w:bCs w:val="0"/>
          <w:sz w:val="30"/>
          <w:szCs w:val="30"/>
          <w:lang w:val="en-US" w:eastAsia="zh-CN"/>
        </w:rPr>
        <w:t>一、收入支出决算总体情况说明</w:t>
      </w:r>
      <w:bookmarkEnd w:id="41"/>
      <w:bookmarkEnd w:id="42"/>
      <w:bookmarkEnd w:id="43"/>
      <w:bookmarkEnd w:id="44"/>
    </w:p>
    <w:p>
      <w:pPr>
        <w:wordWrap w:val="0"/>
        <w:spacing w:line="600" w:lineRule="exact"/>
        <w:ind w:firstLine="6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w:t>
      </w:r>
      <w:r>
        <w:rPr>
          <w:rFonts w:eastAsia="仿宋_GB2312"/>
          <w:sz w:val="30"/>
          <w:szCs w:val="30"/>
          <w:lang w:val="en-US" w:eastAsia="zh-CN"/>
        </w:rPr>
        <w:t>年度收入</w:t>
      </w:r>
      <w:r>
        <w:rPr>
          <w:rFonts w:hint="eastAsia" w:eastAsia="仿宋_GB2312"/>
          <w:sz w:val="30"/>
          <w:szCs w:val="30"/>
          <w:lang w:val="en-US" w:eastAsia="zh-CN"/>
        </w:rPr>
        <w:t>、支出决算</w:t>
      </w:r>
      <w:r>
        <w:rPr>
          <w:rFonts w:eastAsia="仿宋_GB2312"/>
          <w:sz w:val="30"/>
          <w:szCs w:val="30"/>
          <w:lang w:val="en-US" w:eastAsia="zh-CN"/>
        </w:rPr>
        <w:t>总计</w:t>
      </w:r>
      <w:r>
        <w:rPr>
          <w:rFonts w:hint="eastAsia" w:eastAsia="仿宋_GB2312"/>
          <w:sz w:val="30"/>
          <w:szCs w:val="30"/>
          <w:lang w:val="en-US" w:eastAsia="zh-CN"/>
        </w:rPr>
        <w:t>27,266,217.17</w:t>
      </w:r>
      <w:r>
        <w:rPr>
          <w:rFonts w:eastAsia="仿宋_GB2312"/>
          <w:sz w:val="30"/>
          <w:szCs w:val="30"/>
          <w:lang w:val="en-US" w:eastAsia="zh-CN"/>
        </w:rPr>
        <w:t>元</w:t>
      </w:r>
      <w:r>
        <w:rPr>
          <w:rFonts w:hint="eastAsia" w:eastAsia="仿宋_GB2312"/>
          <w:sz w:val="30"/>
          <w:szCs w:val="30"/>
          <w:lang w:val="en-US" w:eastAsia="zh-CN"/>
        </w:rPr>
        <w:t>。</w:t>
      </w:r>
      <w:r>
        <w:rPr>
          <w:rFonts w:eastAsia="仿宋_GB2312"/>
          <w:sz w:val="30"/>
          <w:szCs w:val="30"/>
          <w:lang w:val="en-US" w:eastAsia="zh-CN"/>
        </w:rPr>
        <w:t>与</w:t>
      </w:r>
      <w:r>
        <w:rPr>
          <w:rFonts w:hint="eastAsia" w:eastAsia="仿宋_GB2312"/>
          <w:sz w:val="30"/>
          <w:szCs w:val="30"/>
          <w:lang w:val="en-US" w:eastAsia="zh-CN"/>
        </w:rPr>
        <w:t>2023</w:t>
      </w:r>
      <w:r>
        <w:rPr>
          <w:rFonts w:eastAsia="仿宋_GB2312"/>
          <w:sz w:val="30"/>
          <w:szCs w:val="30"/>
          <w:lang w:val="en-US" w:eastAsia="zh-CN"/>
        </w:rPr>
        <w:t>年</w:t>
      </w:r>
      <w:r>
        <w:rPr>
          <w:rFonts w:hint="eastAsia" w:eastAsia="仿宋_GB2312"/>
          <w:sz w:val="30"/>
          <w:szCs w:val="30"/>
          <w:lang w:val="en-US" w:eastAsia="zh-CN"/>
        </w:rPr>
        <w:t>度相比，收、支总计各减少352,016,785.06元，下降92.811%，主要原因是本年度对区内重点产业支持的相关支出较去年有所减少。</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收入包括：一般公共预算财政拨款收入27,266,217.11元、其他收入0.06元。</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支出包括：一般公共服务支出12,199,575.11元、资源勘探工业信息等支出15,066,642.00元。</w:t>
      </w:r>
    </w:p>
    <w:p>
      <w:pPr>
        <w:pStyle w:val="7"/>
        <w:wordWrap w:val="0"/>
        <w:spacing w:before="0" w:after="0" w:line="600" w:lineRule="exact"/>
        <w:ind w:firstLine="602" w:firstLineChars="200"/>
        <w:rPr>
          <w:rFonts w:hint="eastAsia" w:ascii="黑体" w:hAnsi="黑体" w:eastAsia="黑体" w:cs="仿宋_GB2312"/>
          <w:bCs w:val="0"/>
          <w:sz w:val="30"/>
          <w:szCs w:val="30"/>
          <w:lang w:val="en-US" w:eastAsia="zh-CN"/>
        </w:rPr>
      </w:pPr>
      <w:bookmarkStart w:id="45" w:name="_Toc198940905"/>
      <w:bookmarkStart w:id="46" w:name="_Toc1458959096"/>
      <w:bookmarkStart w:id="47" w:name="_Toc1919476801"/>
      <w:bookmarkStart w:id="48" w:name="_Toc1368772982"/>
      <w:r>
        <w:rPr>
          <w:rFonts w:hint="eastAsia" w:ascii="黑体" w:hAnsi="黑体" w:eastAsia="黑体" w:cs="仿宋_GB2312"/>
          <w:bCs w:val="0"/>
          <w:sz w:val="30"/>
          <w:szCs w:val="30"/>
          <w:lang w:val="en-US" w:eastAsia="zh-CN"/>
        </w:rPr>
        <w:t>二、收入决算情况说明</w:t>
      </w:r>
      <w:bookmarkEnd w:id="45"/>
      <w:bookmarkEnd w:id="46"/>
      <w:bookmarkEnd w:id="47"/>
      <w:bookmarkEnd w:id="48"/>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年度本年收入合计27,266,217.17元，与2023年度相比减少352,016,785.06元，主要原因是本年度对区内重点产业支持的相关支出较去年有所减少。其中：一般公共预算财政拨款收入27,266,217.11元，占100.000%；其他收入0.06元，占0.000%。</w:t>
      </w:r>
    </w:p>
    <w:p>
      <w:pPr>
        <w:pStyle w:val="7"/>
        <w:wordWrap w:val="0"/>
        <w:spacing w:before="0" w:after="0" w:line="600" w:lineRule="exact"/>
        <w:ind w:firstLine="602" w:firstLineChars="200"/>
        <w:rPr>
          <w:rFonts w:hint="eastAsia" w:ascii="黑体" w:hAnsi="黑体" w:eastAsia="黑体" w:cs="仿宋_GB2312"/>
          <w:bCs w:val="0"/>
          <w:sz w:val="30"/>
          <w:szCs w:val="30"/>
          <w:lang w:val="en-US" w:eastAsia="zh-CN"/>
        </w:rPr>
      </w:pPr>
      <w:bookmarkStart w:id="49" w:name="_Toc2115235603"/>
      <w:bookmarkStart w:id="50" w:name="_Toc1122681810"/>
      <w:bookmarkStart w:id="51" w:name="_Toc1147249173"/>
      <w:bookmarkStart w:id="52" w:name="_Toc757245026"/>
      <w:r>
        <w:rPr>
          <w:rFonts w:hint="eastAsia" w:ascii="黑体" w:hAnsi="黑体" w:eastAsia="黑体" w:cs="仿宋_GB2312"/>
          <w:bCs w:val="0"/>
          <w:sz w:val="30"/>
          <w:szCs w:val="30"/>
          <w:lang w:val="en-US" w:eastAsia="zh-CN"/>
        </w:rPr>
        <w:t>三、支出决算情况说明</w:t>
      </w:r>
      <w:bookmarkEnd w:id="49"/>
      <w:bookmarkEnd w:id="50"/>
      <w:bookmarkEnd w:id="51"/>
      <w:bookmarkEnd w:id="52"/>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w:t>
      </w:r>
      <w:r>
        <w:rPr>
          <w:rFonts w:eastAsia="仿宋_GB2312"/>
          <w:sz w:val="30"/>
          <w:szCs w:val="30"/>
          <w:lang w:val="en-US" w:eastAsia="zh-CN"/>
        </w:rPr>
        <w:t>年度</w:t>
      </w:r>
      <w:r>
        <w:rPr>
          <w:rFonts w:hint="eastAsia" w:eastAsia="仿宋_GB2312"/>
          <w:sz w:val="30"/>
          <w:szCs w:val="30"/>
          <w:lang w:val="en-US" w:eastAsia="zh-CN"/>
        </w:rPr>
        <w:t>本年</w:t>
      </w:r>
      <w:r>
        <w:rPr>
          <w:rFonts w:eastAsia="仿宋_GB2312"/>
          <w:sz w:val="30"/>
          <w:szCs w:val="30"/>
          <w:lang w:val="en-US" w:eastAsia="zh-CN"/>
        </w:rPr>
        <w:t>支出</w:t>
      </w:r>
      <w:r>
        <w:rPr>
          <w:rFonts w:hint="eastAsia" w:eastAsia="仿宋_GB2312"/>
          <w:sz w:val="30"/>
          <w:szCs w:val="30"/>
          <w:lang w:val="en-US" w:eastAsia="zh-CN"/>
        </w:rPr>
        <w:t>合计27,266,217.11</w:t>
      </w:r>
      <w:r>
        <w:rPr>
          <w:rFonts w:eastAsia="仿宋_GB2312"/>
          <w:sz w:val="30"/>
          <w:szCs w:val="30"/>
          <w:lang w:val="en-US" w:eastAsia="zh-CN"/>
        </w:rPr>
        <w:t>元，</w:t>
      </w:r>
      <w:r>
        <w:rPr>
          <w:rFonts w:hint="eastAsia" w:eastAsia="仿宋_GB2312"/>
          <w:sz w:val="30"/>
          <w:szCs w:val="30"/>
          <w:lang w:val="en-US" w:eastAsia="zh-CN"/>
        </w:rPr>
        <w:t>与2023年度相比减少352,016,785.12元，主要原因是本年度对区内重点产业支持的相关支出较去年有所减少。其中：基本支出10,357,977.75元，占37.988%；项目支出16,908,239.36元，占62.012%。</w:t>
      </w:r>
    </w:p>
    <w:p>
      <w:pPr>
        <w:pStyle w:val="7"/>
        <w:wordWrap w:val="0"/>
        <w:spacing w:before="0" w:after="0" w:line="600" w:lineRule="exact"/>
        <w:ind w:firstLine="602" w:firstLineChars="200"/>
        <w:rPr>
          <w:rFonts w:hint="eastAsia" w:ascii="黑体" w:hAnsi="黑体" w:eastAsia="黑体"/>
          <w:bCs w:val="0"/>
          <w:sz w:val="30"/>
          <w:szCs w:val="30"/>
          <w:lang w:val="en-US" w:eastAsia="zh-CN"/>
        </w:rPr>
      </w:pPr>
      <w:bookmarkStart w:id="53" w:name="_Toc1708667845"/>
      <w:bookmarkStart w:id="54" w:name="_Toc1029059860"/>
      <w:bookmarkStart w:id="55" w:name="_Toc1121858128"/>
      <w:bookmarkStart w:id="56" w:name="_Toc1320487183"/>
      <w:r>
        <w:rPr>
          <w:rFonts w:hint="eastAsia" w:ascii="黑体" w:hAnsi="黑体" w:eastAsia="黑体"/>
          <w:bCs w:val="0"/>
          <w:sz w:val="30"/>
          <w:szCs w:val="30"/>
          <w:lang w:val="en-US" w:eastAsia="zh-CN"/>
        </w:rPr>
        <w:t>四、财政拨款收支决算总体情况说明</w:t>
      </w:r>
      <w:bookmarkEnd w:id="53"/>
      <w:bookmarkEnd w:id="54"/>
      <w:bookmarkEnd w:id="55"/>
      <w:bookmarkEnd w:id="56"/>
    </w:p>
    <w:p>
      <w:pPr>
        <w:wordWrap w:val="0"/>
        <w:spacing w:line="600" w:lineRule="exact"/>
        <w:ind w:firstLine="6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w:t>
      </w:r>
      <w:r>
        <w:rPr>
          <w:rFonts w:eastAsia="仿宋_GB2312"/>
          <w:sz w:val="30"/>
          <w:szCs w:val="30"/>
          <w:lang w:val="en-US" w:eastAsia="zh-CN"/>
        </w:rPr>
        <w:t>年度</w:t>
      </w:r>
      <w:r>
        <w:rPr>
          <w:rFonts w:hint="eastAsia" w:eastAsia="仿宋_GB2312"/>
          <w:sz w:val="30"/>
          <w:szCs w:val="30"/>
          <w:lang w:val="en-US" w:eastAsia="zh-CN"/>
        </w:rPr>
        <w:t>财政拨款</w:t>
      </w:r>
      <w:r>
        <w:rPr>
          <w:rFonts w:eastAsia="仿宋_GB2312"/>
          <w:sz w:val="30"/>
          <w:szCs w:val="30"/>
          <w:lang w:val="en-US" w:eastAsia="zh-CN"/>
        </w:rPr>
        <w:t>收入</w:t>
      </w:r>
      <w:r>
        <w:rPr>
          <w:rFonts w:hint="eastAsia" w:eastAsia="仿宋_GB2312"/>
          <w:sz w:val="30"/>
          <w:szCs w:val="30"/>
          <w:lang w:val="en-US" w:eastAsia="zh-CN"/>
        </w:rPr>
        <w:t>、支出决算</w:t>
      </w:r>
      <w:r>
        <w:rPr>
          <w:rFonts w:eastAsia="仿宋_GB2312"/>
          <w:sz w:val="30"/>
          <w:szCs w:val="30"/>
          <w:lang w:val="en-US" w:eastAsia="zh-CN"/>
        </w:rPr>
        <w:t>总计</w:t>
      </w:r>
      <w:r>
        <w:rPr>
          <w:rFonts w:hint="eastAsia" w:eastAsia="仿宋_GB2312"/>
          <w:sz w:val="30"/>
          <w:szCs w:val="30"/>
          <w:lang w:val="en-US" w:eastAsia="zh-CN"/>
        </w:rPr>
        <w:t>27,266,217.11元。与2023年度相比，财政拨款收、支总计各减少352,016,785.12元，下降92.811%，主要原因是本年度对区内重点产业支持的相关支出较去年有所减少。</w:t>
      </w:r>
    </w:p>
    <w:p>
      <w:pPr>
        <w:wordWrap w:val="0"/>
        <w:spacing w:line="600" w:lineRule="exact"/>
        <w:ind w:firstLine="600"/>
        <w:rPr>
          <w:rFonts w:hint="eastAsia" w:eastAsia="仿宋_GB2312"/>
          <w:sz w:val="30"/>
          <w:szCs w:val="30"/>
          <w:lang w:val="en-US" w:eastAsia="zh-CN"/>
        </w:rPr>
      </w:pPr>
      <w:r>
        <w:rPr>
          <w:rFonts w:hint="eastAsia" w:eastAsia="仿宋_GB2312"/>
          <w:sz w:val="30"/>
          <w:szCs w:val="30"/>
          <w:lang w:val="en-US" w:eastAsia="zh-CN"/>
        </w:rPr>
        <w:t>收入包括：一般公共预算财政拨款27,266,217.11元。</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支出包括：一般公共服务支出12,199,575.11元、资源勘探工业信息等支出15,066,642.00元。</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57" w:name="_Toc1429143231"/>
      <w:bookmarkStart w:id="58" w:name="_Toc1723257729"/>
      <w:bookmarkStart w:id="59" w:name="_Toc163136636"/>
      <w:bookmarkStart w:id="60" w:name="_Toc1332076583"/>
      <w:r>
        <w:rPr>
          <w:rFonts w:hint="eastAsia" w:ascii="黑体" w:hAnsi="黑体" w:eastAsia="黑体" w:cs="仿宋_GB2312"/>
          <w:sz w:val="30"/>
          <w:szCs w:val="30"/>
          <w:lang w:val="en-US" w:eastAsia="zh-CN"/>
        </w:rPr>
        <w:t>五、一般公共预算财政拨款支出决算情况说明</w:t>
      </w:r>
      <w:bookmarkEnd w:id="57"/>
      <w:bookmarkEnd w:id="58"/>
      <w:bookmarkEnd w:id="59"/>
      <w:bookmarkEnd w:id="60"/>
    </w:p>
    <w:p>
      <w:pPr>
        <w:wordWrap w:val="0"/>
        <w:spacing w:line="600" w:lineRule="exact"/>
        <w:ind w:left="480" w:leftChars="200"/>
        <w:rPr>
          <w:rFonts w:hint="eastAsia" w:ascii="楷体" w:hAnsi="楷体" w:eastAsia="楷体" w:cs="仿宋_GB2312"/>
          <w:b/>
          <w:sz w:val="30"/>
          <w:szCs w:val="30"/>
          <w:lang w:val="en-US" w:eastAsia="zh-CN"/>
        </w:rPr>
      </w:pPr>
      <w:r>
        <w:rPr>
          <w:rFonts w:hint="eastAsia" w:ascii="楷体" w:hAnsi="楷体" w:eastAsia="楷体" w:cs="仿宋_GB2312"/>
          <w:b/>
          <w:sz w:val="30"/>
          <w:szCs w:val="30"/>
          <w:lang w:val="en-US" w:eastAsia="zh-CN"/>
        </w:rPr>
        <w:t>（一）总体情况</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年度部门决算一般公共预算财政拨款支出合计27,266,217.11元，占本年支出合计的100.000%。与2023年度相比，一般公共预算财政拨款支出减少352,016,785.12元,下降92.811%，主要原因是本年度对区内重点产业支持的相关支出较去年有所减少。</w:t>
      </w:r>
    </w:p>
    <w:p>
      <w:pPr>
        <w:wordWrap w:val="0"/>
        <w:spacing w:line="600" w:lineRule="exact"/>
        <w:ind w:firstLine="602" w:firstLineChars="200"/>
        <w:rPr>
          <w:rFonts w:hint="eastAsia" w:ascii="楷体" w:hAnsi="楷体" w:eastAsia="楷体" w:cs="仿宋_GB2312"/>
          <w:b/>
          <w:sz w:val="30"/>
          <w:szCs w:val="30"/>
          <w:lang w:val="en-US" w:eastAsia="zh-CN"/>
        </w:rPr>
      </w:pPr>
      <w:r>
        <w:rPr>
          <w:rFonts w:hint="eastAsia" w:ascii="楷体" w:hAnsi="楷体" w:eastAsia="楷体" w:cs="仿宋_GB2312"/>
          <w:b/>
          <w:sz w:val="30"/>
          <w:szCs w:val="30"/>
          <w:lang w:val="en-US" w:eastAsia="zh-CN"/>
        </w:rPr>
        <w:t>（二）支出结构情况</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2024年度一般公共预算财政拨款支出27,266,217.11元，主要用于以下方面：一般公共服务支出（类）支出12,199,575.11元，占44.742%；资源勘探工业信息等支出（类）支出15,066,642.00元，占55.258%。</w:t>
      </w:r>
    </w:p>
    <w:p>
      <w:pPr>
        <w:wordWrap w:val="0"/>
        <w:spacing w:line="600" w:lineRule="exact"/>
        <w:ind w:firstLine="602" w:firstLineChars="200"/>
        <w:rPr>
          <w:rFonts w:hint="eastAsia" w:ascii="楷体" w:hAnsi="楷体" w:eastAsia="楷体" w:cs="仿宋_GB2312"/>
          <w:b/>
          <w:sz w:val="30"/>
          <w:szCs w:val="30"/>
          <w:lang w:val="en-US" w:eastAsia="zh-CN"/>
        </w:rPr>
      </w:pPr>
      <w:r>
        <w:rPr>
          <w:rFonts w:hint="eastAsia" w:ascii="楷体" w:hAnsi="楷体" w:eastAsia="楷体" w:cs="仿宋_GB2312"/>
          <w:b/>
          <w:sz w:val="30"/>
          <w:szCs w:val="30"/>
          <w:lang w:val="en-US" w:eastAsia="zh-CN"/>
        </w:rPr>
        <w:t>（三）具体情况</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2024年度一般公共预算财政拨款支出年初预算为27,619,420.00元，支出决算为27,266,217.11元，完成年初预算的98.721%。其中：</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1.一般公共服务支出（类）商贸事务（款）行政运行（项）年初预算11,139,420.00元，支出决算为10,357,977.75元，完成年初预算的92.985%，决算数小于预算数的主要原因是严控经费支出。</w:t>
      </w:r>
    </w:p>
    <w:p>
      <w:pPr>
        <w:shd w:val="clear" w:color="auto" w:fill="auto"/>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2.一般公共服务支出（类）商贸事务（款）招商引资（项）年初预算1,480,000.00元，支出决算为1,841,597.36元，完成年初预算的124.432%，决算数大于年初预算数的主要原因是因工作安排，执行必要的因公出国（境）工作任务，年中增加了因公出国（境）经费支出。</w:t>
      </w:r>
    </w:p>
    <w:p>
      <w:pPr>
        <w:shd w:val="clear" w:color="auto" w:fill="auto"/>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3.资源勘探工业信息等支出（类）制造业（款）其他制造业支出（项）年初预算15,000,000.00元，支出决算为15,066,642.00元，完成年初预算的100.444%，决算数大于年初预算数的主要原因是对区内重点产业支持的相关支出有所增加。</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61" w:name="_Toc1828187861"/>
      <w:bookmarkStart w:id="62" w:name="_Toc1648307680"/>
      <w:bookmarkStart w:id="63" w:name="_Toc1127616914"/>
      <w:bookmarkStart w:id="64" w:name="_Toc5691722"/>
      <w:r>
        <w:rPr>
          <w:rFonts w:hint="eastAsia" w:ascii="黑体" w:hAnsi="黑体" w:eastAsia="黑体" w:cs="仿宋_GB2312"/>
          <w:sz w:val="30"/>
          <w:szCs w:val="30"/>
          <w:lang w:val="en-US" w:eastAsia="zh-CN"/>
        </w:rPr>
        <w:t>六、一般公共预算财政拨款基本支出决算情况说明</w:t>
      </w:r>
      <w:bookmarkEnd w:id="61"/>
      <w:bookmarkEnd w:id="62"/>
      <w:bookmarkEnd w:id="63"/>
      <w:bookmarkEnd w:id="64"/>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w:t>
      </w:r>
      <w:r>
        <w:rPr>
          <w:rFonts w:eastAsia="仿宋_GB2312"/>
          <w:sz w:val="30"/>
          <w:szCs w:val="30"/>
          <w:lang w:val="en-US" w:eastAsia="zh-CN"/>
        </w:rPr>
        <w:t>年度部门决算一般公共预算财政拨款基本支出</w:t>
      </w:r>
      <w:r>
        <w:rPr>
          <w:rFonts w:hint="eastAsia" w:eastAsia="仿宋_GB2312"/>
          <w:sz w:val="30"/>
          <w:szCs w:val="30"/>
          <w:lang w:val="en-US" w:eastAsia="zh-CN"/>
        </w:rPr>
        <w:t>合计10,357,977.75</w:t>
      </w:r>
      <w:r>
        <w:rPr>
          <w:rFonts w:eastAsia="仿宋_GB2312"/>
          <w:sz w:val="30"/>
          <w:szCs w:val="30"/>
          <w:lang w:val="en-US" w:eastAsia="zh-CN"/>
        </w:rPr>
        <w:t>元，</w:t>
      </w:r>
      <w:r>
        <w:rPr>
          <w:rFonts w:hint="eastAsia" w:eastAsia="仿宋_GB2312"/>
          <w:sz w:val="30"/>
          <w:szCs w:val="30"/>
          <w:lang w:val="en-US" w:eastAsia="zh-CN"/>
        </w:rPr>
        <w:t>与2023年度相比增加313,916.11元，主要原因是支付同期调整，支出进度同步增加。其中：</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人员经费10,024,064.65元，主要包括基本工资、津贴补贴、机关事业单位基本养老保险缴费、职业年金缴费、职工基本医疗保险缴费、其他社会保障缴费、住房公积金。</w:t>
      </w:r>
    </w:p>
    <w:p>
      <w:pPr>
        <w:wordWrap w:val="0"/>
        <w:spacing w:line="600" w:lineRule="exact"/>
        <w:ind w:firstLine="600" w:firstLineChars="200"/>
        <w:rPr>
          <w:rFonts w:eastAsia="仿宋_GB2312"/>
          <w:sz w:val="30"/>
          <w:szCs w:val="30"/>
          <w:lang w:val="en-US" w:eastAsia="zh-CN"/>
        </w:rPr>
      </w:pPr>
      <w:r>
        <w:rPr>
          <w:rFonts w:hint="eastAsia" w:eastAsia="仿宋_GB2312"/>
          <w:sz w:val="30"/>
          <w:szCs w:val="30"/>
          <w:lang w:val="en-US" w:eastAsia="zh-CN"/>
        </w:rPr>
        <w:t>公用经费333,913.10元，主要包括办公费、手续费、水费、邮电费、差旅费、因公出国（境）费用、培训费、委托业务费、其他交通费用。</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65" w:name="_Toc314288823"/>
      <w:bookmarkStart w:id="66" w:name="_Toc1171491186"/>
      <w:bookmarkStart w:id="67" w:name="_Toc157358551"/>
      <w:bookmarkStart w:id="68" w:name="_Toc568131460"/>
      <w:r>
        <w:rPr>
          <w:rFonts w:hint="eastAsia" w:ascii="黑体" w:hAnsi="黑体" w:eastAsia="黑体" w:cs="仿宋_GB2312"/>
          <w:sz w:val="30"/>
          <w:szCs w:val="30"/>
          <w:lang w:val="en-US" w:eastAsia="zh-CN"/>
        </w:rPr>
        <w:t>七、政府性基金预算财政拨款收支决算情况说明</w:t>
      </w:r>
      <w:bookmarkEnd w:id="65"/>
      <w:bookmarkEnd w:id="66"/>
      <w:bookmarkEnd w:id="67"/>
      <w:bookmarkEnd w:id="68"/>
    </w:p>
    <w:p>
      <w:pPr>
        <w:wordWrap w:val="0"/>
        <w:spacing w:line="600" w:lineRule="exact"/>
        <w:ind w:firstLine="600" w:firstLineChars="200"/>
        <w:rPr>
          <w:rFonts w:hint="eastAsia" w:ascii="楷体" w:hAnsi="楷体" w:eastAsia="楷体" w:cs="楷体"/>
          <w:sz w:val="30"/>
          <w:szCs w:val="30"/>
          <w:lang w:val="en-US" w:eastAsia="zh-CN"/>
        </w:rPr>
      </w:pPr>
      <w:r>
        <w:rPr>
          <w:rFonts w:hint="eastAsia" w:eastAsia="仿宋_GB2312"/>
          <w:sz w:val="30"/>
          <w:szCs w:val="30"/>
          <w:lang w:val="en-US" w:eastAsia="zh-CN"/>
        </w:rPr>
        <w:t>天津经济技术开发区南港工业区产业促进办公室2024年度无政府性基金预算财政拨款收入、支出和结转结余。</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69" w:name="_Toc1172797200"/>
      <w:bookmarkStart w:id="70" w:name="_Toc873153658"/>
      <w:bookmarkStart w:id="71" w:name="_Toc1589960188"/>
      <w:bookmarkStart w:id="72" w:name="_Toc1122287406"/>
      <w:r>
        <w:rPr>
          <w:rFonts w:hint="eastAsia" w:ascii="黑体" w:hAnsi="黑体" w:eastAsia="黑体" w:cs="仿宋_GB2312"/>
          <w:sz w:val="30"/>
          <w:szCs w:val="30"/>
          <w:lang w:val="en-US" w:eastAsia="zh-CN"/>
        </w:rPr>
        <w:t>八、国有资本经营预算财政拨款收支决算情况说明</w:t>
      </w:r>
      <w:bookmarkEnd w:id="69"/>
      <w:bookmarkEnd w:id="70"/>
      <w:bookmarkEnd w:id="71"/>
      <w:bookmarkEnd w:id="72"/>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天津经济技术开发区南港工业区产业促进办公室2024年度无国有资本经营预算财政拨款收入、支出和结转结余。</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73" w:name="_Toc935561041"/>
      <w:bookmarkStart w:id="74" w:name="_Toc1321860095"/>
      <w:bookmarkStart w:id="75" w:name="_Toc1597628234"/>
      <w:bookmarkStart w:id="76" w:name="_Toc1337770055"/>
      <w:r>
        <w:rPr>
          <w:rFonts w:hint="eastAsia" w:ascii="黑体" w:hAnsi="黑体" w:eastAsia="黑体" w:cs="仿宋_GB2312"/>
          <w:sz w:val="30"/>
          <w:szCs w:val="30"/>
          <w:lang w:val="en-US" w:eastAsia="zh-CN"/>
        </w:rPr>
        <w:t>九、财政拨款“三公”经费支出决算情况说明</w:t>
      </w:r>
      <w:bookmarkEnd w:id="73"/>
      <w:bookmarkEnd w:id="74"/>
      <w:bookmarkEnd w:id="75"/>
      <w:bookmarkEnd w:id="76"/>
    </w:p>
    <w:p>
      <w:pPr>
        <w:wordWrap w:val="0"/>
        <w:spacing w:line="600" w:lineRule="exact"/>
        <w:ind w:firstLine="602" w:firstLineChars="200"/>
        <w:rPr>
          <w:rFonts w:hint="eastAsia" w:ascii="楷体" w:hAnsi="楷体" w:eastAsia="楷体" w:cs="楷体"/>
          <w:b/>
          <w:bCs/>
          <w:sz w:val="30"/>
          <w:szCs w:val="30"/>
          <w:lang w:val="en-US" w:eastAsia="zh-CN"/>
        </w:rPr>
      </w:pPr>
      <w:bookmarkStart w:id="77" w:name="_Toc99152753"/>
      <w:bookmarkStart w:id="78" w:name="_Toc784288450"/>
      <w:r>
        <w:rPr>
          <w:rFonts w:hint="eastAsia" w:ascii="楷体" w:hAnsi="楷体" w:eastAsia="楷体" w:cs="楷体"/>
          <w:b/>
          <w:bCs/>
          <w:sz w:val="30"/>
          <w:szCs w:val="30"/>
          <w:lang w:val="en-US" w:eastAsia="zh-CN"/>
        </w:rPr>
        <w:t>（一）总体情况</w:t>
      </w:r>
      <w:bookmarkEnd w:id="77"/>
      <w:bookmarkEnd w:id="78"/>
    </w:p>
    <w:p>
      <w:pPr>
        <w:wordWrap w:val="0"/>
        <w:spacing w:line="600" w:lineRule="exact"/>
        <w:ind w:firstLine="600" w:firstLineChars="200"/>
        <w:rPr>
          <w:rFonts w:eastAsia="仿宋_GB2312"/>
          <w:sz w:val="30"/>
          <w:szCs w:val="30"/>
          <w:lang w:val="en-US" w:eastAsia="zh-CN"/>
        </w:rPr>
      </w:pPr>
      <w:r>
        <w:rPr>
          <w:rFonts w:hint="eastAsia" w:eastAsia="仿宋_GB2312"/>
          <w:sz w:val="30"/>
          <w:szCs w:val="30"/>
          <w:lang w:val="en-US" w:eastAsia="zh-CN"/>
        </w:rPr>
        <w:t>2024年财政拨款“三公”经费预算286,248.00元，支出决算285,494.44元，与2024年预算相比减少753.56元，完成预算的99.737%；支出决算较上年减少8,927.30元,下降3.032%。决算数小于预算数的主要原因是落实过紧日子相关要求，严控三公经费支出；决算数较上年减少的主要原因是落实过紧日子相关要求，严控三公经费支出。</w:t>
      </w:r>
    </w:p>
    <w:p>
      <w:pPr>
        <w:wordWrap w:val="0"/>
        <w:spacing w:line="600" w:lineRule="exact"/>
        <w:ind w:firstLine="602" w:firstLineChars="200"/>
        <w:rPr>
          <w:rFonts w:hint="eastAsia" w:ascii="楷体" w:hAnsi="楷体" w:eastAsia="楷体" w:cs="楷体"/>
          <w:b/>
          <w:bCs/>
          <w:sz w:val="30"/>
          <w:szCs w:val="30"/>
          <w:lang w:val="en-US" w:eastAsia="zh-CN"/>
        </w:rPr>
      </w:pPr>
      <w:bookmarkStart w:id="79" w:name="_Toc281353864"/>
      <w:bookmarkStart w:id="80" w:name="_Toc13009599"/>
      <w:r>
        <w:rPr>
          <w:rFonts w:hint="eastAsia" w:ascii="楷体" w:hAnsi="楷体" w:eastAsia="楷体" w:cs="楷体"/>
          <w:b/>
          <w:bCs/>
          <w:sz w:val="30"/>
          <w:szCs w:val="30"/>
          <w:lang w:val="en-US" w:eastAsia="zh-CN"/>
        </w:rPr>
        <w:t>（二）具体情况</w:t>
      </w:r>
      <w:bookmarkEnd w:id="79"/>
      <w:bookmarkEnd w:id="80"/>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1.因公出国（境）费预算286,248.00元，支出决算285,494.44元，与预算相比减少753.56元，完成预算的99.737%；支出决算较上年增加87,055.69元，增长43.870%。决算数小于预算数的主要原因是落实过紧日子相关要求，严控三公经费支出；决算数较上年增加的主要原因是因工作安排，执行必要的因公出国（境）工作任务，年中增加了因公出国（境）经费支出。</w:t>
      </w:r>
    </w:p>
    <w:p>
      <w:pPr>
        <w:wordWrap w:val="0"/>
        <w:spacing w:line="600" w:lineRule="exact"/>
        <w:ind w:firstLine="600" w:firstLineChars="200"/>
        <w:rPr>
          <w:rFonts w:eastAsia="仿宋_GB2312"/>
          <w:sz w:val="30"/>
          <w:szCs w:val="30"/>
          <w:lang w:val="en-US" w:eastAsia="zh-CN"/>
        </w:rPr>
      </w:pPr>
      <w:r>
        <w:rPr>
          <w:rFonts w:hint="eastAsia" w:eastAsia="仿宋_GB2312"/>
          <w:sz w:val="30"/>
          <w:szCs w:val="30"/>
          <w:lang w:val="en-US" w:eastAsia="zh-CN"/>
        </w:rPr>
        <w:t>2024年本单位组织的出国团组1个，出国3人次。</w:t>
      </w:r>
    </w:p>
    <w:p>
      <w:pPr>
        <w:wordWrap w:val="0"/>
        <w:spacing w:line="600" w:lineRule="exact"/>
        <w:ind w:firstLine="600" w:firstLineChars="200"/>
        <w:rPr>
          <w:rFonts w:eastAsia="仿宋_GB2312"/>
          <w:sz w:val="30"/>
          <w:szCs w:val="30"/>
          <w:lang w:val="en-US" w:eastAsia="zh-CN"/>
        </w:rPr>
      </w:pPr>
      <w:r>
        <w:rPr>
          <w:rFonts w:hint="eastAsia" w:eastAsia="仿宋_GB2312"/>
          <w:sz w:val="30"/>
          <w:szCs w:val="30"/>
          <w:lang w:val="en-US" w:eastAsia="zh-CN"/>
        </w:rPr>
        <w:t>2.公务用车购置及运行维护费预算0.00元，支出决算0.00元，与预算相比持平；支出决算较上年持平。决算数与预算数持平的主要原因是本年度未用财政拨款经费列支公务车购置及运行维护费；决算数较上年持平的主要原因是本年度未用财政拨款经费列支公务车购置及运行维护费。</w:t>
      </w:r>
      <w:r>
        <w:rPr>
          <w:rFonts w:eastAsia="仿宋_GB2312"/>
          <w:sz w:val="30"/>
          <w:szCs w:val="30"/>
          <w:lang w:val="en-US" w:eastAsia="zh-CN"/>
        </w:rPr>
        <w:t>其中</w:t>
      </w:r>
      <w:r>
        <w:rPr>
          <w:rFonts w:hint="eastAsia" w:eastAsia="仿宋_GB2312"/>
          <w:sz w:val="30"/>
          <w:szCs w:val="30"/>
          <w:lang w:val="en-US" w:eastAsia="zh-CN"/>
        </w:rPr>
        <w:t>：</w:t>
      </w:r>
    </w:p>
    <w:p>
      <w:pPr>
        <w:wordWrap w:val="0"/>
        <w:spacing w:line="600" w:lineRule="exact"/>
        <w:ind w:firstLine="600" w:firstLineChars="200"/>
        <w:jc w:val="both"/>
        <w:rPr>
          <w:rFonts w:eastAsia="仿宋_GB2312"/>
          <w:sz w:val="30"/>
          <w:szCs w:val="30"/>
          <w:lang w:val="en-US" w:eastAsia="zh-CN"/>
        </w:rPr>
      </w:pPr>
      <w:r>
        <w:rPr>
          <w:rFonts w:hint="eastAsia" w:eastAsia="仿宋_GB2312"/>
          <w:sz w:val="30"/>
          <w:szCs w:val="30"/>
          <w:lang w:val="en-US" w:eastAsia="zh-CN"/>
        </w:rPr>
        <w:t>公务用车运行维护费预算0.00元，支出决算0.00元，与预算相比持平；支出决算较上年持平。决算数与预算数持平的主要原因是本年度未用财政拨款经费列支公务车运行维护费；决算数较上年持平的主要原因是本年度未用财政拨款经费列支公务车运行维护费。</w:t>
      </w:r>
    </w:p>
    <w:p>
      <w:pPr>
        <w:wordWrap w:val="0"/>
        <w:spacing w:line="600" w:lineRule="exact"/>
        <w:ind w:firstLine="600" w:firstLineChars="200"/>
        <w:jc w:val="both"/>
        <w:rPr>
          <w:rFonts w:hint="eastAsia" w:eastAsia="仿宋_GB2312"/>
          <w:sz w:val="30"/>
          <w:szCs w:val="30"/>
          <w:lang w:val="en-US" w:eastAsia="zh-CN"/>
        </w:rPr>
      </w:pPr>
      <w:r>
        <w:rPr>
          <w:rFonts w:hint="eastAsia" w:eastAsia="仿宋_GB2312"/>
          <w:sz w:val="30"/>
          <w:szCs w:val="30"/>
          <w:lang w:val="en-US" w:eastAsia="zh-CN"/>
        </w:rPr>
        <w:t>截至2024年12月31日，使用财政拨款开支运行维护费的公务用车保有量为0辆。</w:t>
      </w:r>
    </w:p>
    <w:p>
      <w:pPr>
        <w:wordWrap w:val="0"/>
        <w:spacing w:line="600" w:lineRule="exact"/>
        <w:ind w:firstLine="600" w:firstLineChars="200"/>
        <w:jc w:val="both"/>
        <w:rPr>
          <w:rFonts w:hint="eastAsia" w:eastAsia="仿宋_GB2312"/>
          <w:sz w:val="30"/>
          <w:szCs w:val="30"/>
          <w:lang w:val="en-US" w:eastAsia="zh-CN"/>
        </w:rPr>
      </w:pPr>
      <w:r>
        <w:rPr>
          <w:rFonts w:hint="eastAsia" w:eastAsia="仿宋_GB2312"/>
          <w:sz w:val="30"/>
          <w:szCs w:val="30"/>
          <w:lang w:val="en-US" w:eastAsia="zh-CN"/>
        </w:rPr>
        <w:t>公务用车购置费预算0.00元，支出决算0.00元，与预算相比持平；支出决算较上年持平。决算数与预算数持平的主要原因是本年度未用财政拨款经费列支公务用车购置费；决算数较上年持平的主要原因是本年度未用财政拨款经费列支公务用车购置费。</w:t>
      </w:r>
    </w:p>
    <w:p>
      <w:pPr>
        <w:wordWrap w:val="0"/>
        <w:spacing w:line="600" w:lineRule="exact"/>
        <w:ind w:firstLine="600" w:firstLineChars="200"/>
        <w:jc w:val="both"/>
        <w:rPr>
          <w:rFonts w:hint="eastAsia" w:eastAsia="仿宋_GB2312"/>
          <w:sz w:val="30"/>
          <w:szCs w:val="30"/>
          <w:lang w:val="en-US" w:eastAsia="zh-CN"/>
        </w:rPr>
      </w:pPr>
      <w:r>
        <w:rPr>
          <w:rFonts w:hint="eastAsia" w:eastAsia="仿宋_GB2312"/>
          <w:sz w:val="30"/>
          <w:szCs w:val="30"/>
          <w:lang w:val="en-US" w:eastAsia="zh-CN"/>
        </w:rPr>
        <w:t>2024年购置公务用车0辆。</w:t>
      </w:r>
    </w:p>
    <w:p>
      <w:pPr>
        <w:wordWrap w:val="0"/>
        <w:spacing w:line="600" w:lineRule="exact"/>
        <w:ind w:firstLine="600" w:firstLineChars="200"/>
        <w:jc w:val="both"/>
        <w:rPr>
          <w:rFonts w:hint="eastAsia" w:eastAsia="仿宋_GB2312"/>
          <w:sz w:val="30"/>
          <w:szCs w:val="30"/>
          <w:lang w:val="en-US" w:eastAsia="zh-CN"/>
        </w:rPr>
      </w:pPr>
      <w:r>
        <w:rPr>
          <w:rFonts w:hint="eastAsia" w:eastAsia="仿宋_GB2312"/>
          <w:sz w:val="30"/>
          <w:szCs w:val="30"/>
          <w:lang w:val="en-US" w:eastAsia="zh-CN"/>
        </w:rPr>
        <w:t>3.公务接待费预算0.00元，支出决算0.00元，与预算相比持平；支出决算较上年减少95,982.99元,下降100.000%。决算数与预算数持平的主要原因是本年度未用财政拨款经费列支公务接待费；决算数较上年减少的主要原因是本年度未用财政拨款经费列支公务接待费。</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2024年本单位国内公务接待0批次，0人次；其中，外事接待0批次，0人次。</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81" w:name="_Toc1895013942"/>
      <w:bookmarkStart w:id="82" w:name="_Toc2102885201"/>
      <w:bookmarkStart w:id="83" w:name="_Toc1756482046"/>
      <w:bookmarkStart w:id="84" w:name="_Toc1349690397"/>
      <w:r>
        <w:rPr>
          <w:rFonts w:hint="eastAsia" w:ascii="黑体" w:hAnsi="黑体" w:eastAsia="黑体" w:cs="仿宋_GB2312"/>
          <w:sz w:val="30"/>
          <w:szCs w:val="30"/>
          <w:lang w:val="en-US" w:eastAsia="zh-CN"/>
        </w:rPr>
        <w:t>十、机关运行经费支出情况说明</w:t>
      </w:r>
      <w:bookmarkEnd w:id="81"/>
      <w:bookmarkEnd w:id="82"/>
      <w:bookmarkEnd w:id="83"/>
      <w:bookmarkEnd w:id="84"/>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机关运行经费是指行政单位和参照公务员法管理的事业单位使用财政拨款安排的基本支出中的日常公用经费支出，天津经济技术开发区南港工业区产业促进办公室2024年度机关运行经费年初预算333,920.00元，决算数333,913.10元，与年初预算相比减少6.90元，完成年初预算的99.998%；比2023年增加22,421.10元，增长7.198%。主要原因是：在严控经费支出的基础上，因必要的工作安排，委托业务费、办公费相较去年有所增加。</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85" w:name="_Toc376739118"/>
      <w:bookmarkStart w:id="86" w:name="_Toc2053194528"/>
      <w:bookmarkStart w:id="87" w:name="_Toc1883535460"/>
      <w:bookmarkStart w:id="88" w:name="_Toc169354537"/>
      <w:r>
        <w:rPr>
          <w:rFonts w:hint="eastAsia" w:ascii="黑体" w:hAnsi="黑体" w:eastAsia="黑体" w:cs="仿宋_GB2312"/>
          <w:sz w:val="30"/>
          <w:szCs w:val="30"/>
          <w:lang w:val="en-US" w:eastAsia="zh-CN"/>
        </w:rPr>
        <w:t>十一、政府采购支出情况说明</w:t>
      </w:r>
      <w:bookmarkEnd w:id="85"/>
      <w:bookmarkEnd w:id="86"/>
      <w:bookmarkEnd w:id="87"/>
      <w:bookmarkEnd w:id="88"/>
    </w:p>
    <w:p>
      <w:pPr>
        <w:wordWrap w:val="0"/>
        <w:spacing w:line="600" w:lineRule="exact"/>
        <w:ind w:firstLine="600" w:firstLineChars="200"/>
        <w:jc w:val="both"/>
        <w:rPr>
          <w:rFonts w:hint="eastAsia" w:eastAsia="仿宋_GB2312"/>
          <w:sz w:val="30"/>
          <w:szCs w:val="30"/>
          <w:lang w:val="en-US" w:eastAsia="zh-CN"/>
        </w:rPr>
      </w:pPr>
      <w:r>
        <w:rPr>
          <w:rFonts w:hint="eastAsia" w:eastAsia="仿宋_GB2312"/>
          <w:sz w:val="30"/>
          <w:szCs w:val="30"/>
          <w:lang w:val="en-US" w:eastAsia="zh-CN"/>
        </w:rPr>
        <w:t>天津经济技术开发区南港工业区产业促进办公室2024年度无政府采购支出。</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89" w:name="_Toc1072564870"/>
      <w:bookmarkStart w:id="90" w:name="_Toc925871084"/>
      <w:bookmarkStart w:id="91" w:name="_Toc524035793"/>
      <w:bookmarkStart w:id="92" w:name="_Toc125708453"/>
      <w:r>
        <w:rPr>
          <w:rFonts w:hint="eastAsia" w:ascii="黑体" w:hAnsi="黑体" w:eastAsia="黑体" w:cs="仿宋_GB2312"/>
          <w:sz w:val="30"/>
          <w:szCs w:val="30"/>
          <w:lang w:val="en-US" w:eastAsia="zh-CN"/>
        </w:rPr>
        <w:t>十二、国有资产占有使用情况说明</w:t>
      </w:r>
      <w:bookmarkEnd w:id="89"/>
      <w:bookmarkEnd w:id="90"/>
      <w:bookmarkEnd w:id="91"/>
      <w:bookmarkEnd w:id="92"/>
    </w:p>
    <w:p>
      <w:pPr>
        <w:wordWrap w:val="0"/>
        <w:spacing w:line="600" w:lineRule="exact"/>
        <w:ind w:firstLine="600" w:firstLineChars="200"/>
        <w:jc w:val="both"/>
        <w:rPr>
          <w:rFonts w:hint="eastAsia" w:eastAsia="仿宋_GB2312"/>
          <w:sz w:val="30"/>
          <w:szCs w:val="30"/>
          <w:lang w:val="en-US" w:eastAsia="zh-CN"/>
        </w:rPr>
      </w:pPr>
      <w:bookmarkStart w:id="93" w:name="_Toc620037172"/>
      <w:r>
        <w:rPr>
          <w:rFonts w:hint="eastAsia" w:eastAsia="仿宋_GB2312"/>
          <w:sz w:val="30"/>
          <w:szCs w:val="30"/>
          <w:lang w:val="en-US" w:eastAsia="zh-CN"/>
        </w:rPr>
        <w:t>天津经济技术开发区南港工业区产业促进办公室2024年度无国有资产占有使用情况。</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94" w:name="_Toc448802626"/>
      <w:bookmarkStart w:id="95" w:name="_Toc639136604"/>
      <w:bookmarkStart w:id="96" w:name="_Toc1805544570"/>
      <w:r>
        <w:rPr>
          <w:rFonts w:hint="eastAsia" w:ascii="黑体" w:hAnsi="黑体" w:eastAsia="黑体" w:cs="仿宋_GB2312"/>
          <w:sz w:val="30"/>
          <w:szCs w:val="30"/>
          <w:lang w:val="en-US" w:eastAsia="zh-CN"/>
        </w:rPr>
        <w:t>十三、预算绩效情况说明</w:t>
      </w:r>
      <w:bookmarkEnd w:id="93"/>
      <w:bookmarkEnd w:id="94"/>
      <w:bookmarkEnd w:id="95"/>
      <w:bookmarkEnd w:id="96"/>
    </w:p>
    <w:p>
      <w:pPr>
        <w:wordWrap w:val="0"/>
        <w:spacing w:line="600" w:lineRule="exact"/>
        <w:jc w:val="both"/>
        <w:rPr>
          <w:rFonts w:hint="eastAsia" w:eastAsia="仿宋_GB2312"/>
          <w:sz w:val="30"/>
          <w:szCs w:val="30"/>
          <w:lang w:val="en-US" w:eastAsia="zh-CN"/>
        </w:rPr>
      </w:pPr>
      <w:r>
        <w:rPr>
          <w:rFonts w:hint="eastAsia" w:eastAsia="仿宋_GB2312"/>
          <w:sz w:val="30"/>
          <w:szCs w:val="30"/>
          <w:lang w:val="en-US" w:eastAsia="zh-CN"/>
        </w:rPr>
        <w:t xml:space="preserve">    根据预算绩效管理要求，天津经济技术开发区南港工业区产业促进办公室2024年度已对5个项目开展绩效自评，涉及金额27,266,217.11，自评结果已随部门决算一并公开。</w:t>
      </w:r>
    </w:p>
    <w:p>
      <w:pPr>
        <w:wordWrap w:val="0"/>
        <w:spacing w:line="600" w:lineRule="exact"/>
        <w:jc w:val="both"/>
        <w:rPr>
          <w:rFonts w:eastAsia="仿宋_GB2312"/>
          <w:sz w:val="30"/>
          <w:szCs w:val="30"/>
          <w:lang w:val="en-US" w:eastAsia="zh-CN"/>
        </w:rPr>
      </w:pPr>
      <w:r>
        <w:rPr>
          <w:rFonts w:eastAsia="仿宋_GB2312"/>
          <w:sz w:val="30"/>
          <w:szCs w:val="30"/>
          <w:lang w:val="en-US" w:eastAsia="zh-CN"/>
        </w:rPr>
        <w:t xml:space="preserve">    本部门2024年度未开展部门评价。</w:t>
      </w:r>
    </w:p>
    <w:p>
      <w:pPr>
        <w:pStyle w:val="7"/>
        <w:wordWrap w:val="0"/>
        <w:spacing w:before="0" w:after="0" w:line="600" w:lineRule="exact"/>
        <w:ind w:firstLine="602" w:firstLineChars="200"/>
        <w:rPr>
          <w:rFonts w:hint="eastAsia" w:ascii="黑体" w:hAnsi="黑体" w:eastAsia="黑体" w:cs="仿宋_GB2312"/>
          <w:sz w:val="30"/>
          <w:szCs w:val="30"/>
          <w:lang w:val="en-US" w:eastAsia="zh-CN"/>
        </w:rPr>
      </w:pPr>
      <w:bookmarkStart w:id="97" w:name="_Toc1063166918"/>
      <w:bookmarkStart w:id="98" w:name="_Toc255701134"/>
      <w:bookmarkStart w:id="99" w:name="_Toc1843655880"/>
      <w:bookmarkStart w:id="100" w:name="_Toc1374094560"/>
      <w:r>
        <w:rPr>
          <w:rFonts w:hint="eastAsia" w:ascii="黑体" w:hAnsi="黑体" w:eastAsia="黑体" w:cs="仿宋_GB2312"/>
          <w:sz w:val="30"/>
          <w:szCs w:val="30"/>
          <w:lang w:val="en-US" w:eastAsia="zh-CN"/>
        </w:rPr>
        <w:t>十四、教育、医疗卫生、社会保障和就业、住房保障、涉农补贴等民生支出情况说明</w:t>
      </w:r>
      <w:bookmarkEnd w:id="97"/>
      <w:bookmarkEnd w:id="98"/>
      <w:bookmarkEnd w:id="99"/>
      <w:bookmarkEnd w:id="100"/>
    </w:p>
    <w:p>
      <w:pPr>
        <w:wordWrap w:val="0"/>
        <w:spacing w:line="600" w:lineRule="exact"/>
        <w:rPr>
          <w:rFonts w:hint="eastAsia" w:eastAsia="楷体"/>
          <w:sz w:val="30"/>
          <w:szCs w:val="30"/>
          <w:lang w:val="en-US" w:eastAsia="zh-CN"/>
        </w:rPr>
      </w:pPr>
      <w:r>
        <w:rPr>
          <w:rFonts w:hint="eastAsia" w:eastAsia="仿宋_GB2312"/>
          <w:sz w:val="30"/>
          <w:szCs w:val="30"/>
          <w:lang w:val="en-US" w:eastAsia="zh-CN"/>
        </w:rPr>
        <w:t xml:space="preserve">    天津经济技术开发区南港工业区产业促进办公室不属于乡、镇、街级单位，不涉及公开2024年度教育、医疗卫生、社会保障和就业、住房保障、涉农补贴等民生支出情况。</w:t>
      </w:r>
      <w:r>
        <w:br w:type="page"/>
      </w:r>
    </w:p>
    <w:p>
      <w:pPr>
        <w:pStyle w:val="6"/>
        <w:wordWrap w:val="0"/>
        <w:spacing w:before="0" w:after="0" w:line="600" w:lineRule="exact"/>
        <w:jc w:val="center"/>
        <w:rPr>
          <w:rFonts w:hint="eastAsia" w:ascii="方正小标宋简体" w:hAnsi="方正小标宋简体" w:eastAsia="方正小标宋简体" w:cs="方正小标宋简体"/>
          <w:b w:val="0"/>
          <w:bCs/>
          <w:lang w:val="en-US" w:eastAsia="zh-CN"/>
        </w:rPr>
      </w:pPr>
      <w:bookmarkStart w:id="101" w:name="_Toc454181491"/>
      <w:bookmarkStart w:id="102" w:name="_Toc1582447786"/>
      <w:bookmarkStart w:id="103" w:name="_Toc282832597"/>
      <w:bookmarkStart w:id="104" w:name="_Toc368130082"/>
      <w:r>
        <w:rPr>
          <w:rFonts w:hint="eastAsia" w:ascii="方正小标宋简体" w:hAnsi="方正小标宋简体" w:eastAsia="方正小标宋简体" w:cs="方正小标宋简体"/>
          <w:b w:val="0"/>
          <w:bCs/>
          <w:lang w:val="en-US" w:eastAsia="zh-CN"/>
        </w:rPr>
        <w:t>第四部分  名词解释</w:t>
      </w:r>
      <w:bookmarkEnd w:id="101"/>
      <w:bookmarkEnd w:id="102"/>
      <w:bookmarkEnd w:id="103"/>
      <w:bookmarkEnd w:id="104"/>
    </w:p>
    <w:p>
      <w:pPr>
        <w:wordWrap w:val="0"/>
        <w:spacing w:line="600" w:lineRule="exact"/>
        <w:ind w:firstLine="600" w:firstLineChars="200"/>
        <w:rPr>
          <w:rFonts w:hint="eastAsia" w:ascii="仿宋_GB2312" w:eastAsia="仿宋_GB2312"/>
          <w:sz w:val="30"/>
          <w:szCs w:val="30"/>
          <w:lang w:val="en-US" w:eastAsia="zh-CN"/>
        </w:rPr>
      </w:pP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1.部门决算。是指各部门依据国家有关法律法规规定及其履行职能情况编制，反映部门所有预算收支和结余执行结果及绩效等情况的综合性年度报告，是改进部门预算执行以及编制后续年度部门预算的参考和依据。</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2.机关运行经费。反映为保障行政单位（含参照公务员管理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wordWrap w:val="0"/>
        <w:spacing w:line="600" w:lineRule="exact"/>
        <w:ind w:firstLine="600" w:firstLineChars="200"/>
        <w:rPr>
          <w:rFonts w:hint="eastAsia" w:eastAsia="仿宋_GB2312"/>
          <w:sz w:val="30"/>
          <w:szCs w:val="30"/>
          <w:lang w:val="en-US" w:eastAsia="zh-CN"/>
        </w:rPr>
      </w:pPr>
      <w:r>
        <w:rPr>
          <w:rFonts w:hint="eastAsia" w:eastAsia="仿宋_GB2312"/>
          <w:sz w:val="30"/>
          <w:szCs w:val="30"/>
          <w:lang w:val="en-US" w:eastAsia="zh-CN"/>
        </w:rPr>
        <w:t>3.“三公”经费。是指各部门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及燃料费、维修费、过桥过路费、保险费、安全奖励费用等支出；公务接待费反映单位按规定开支的各类公务接待（含外宾接待）支出。</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CE43FD-3D8C-4D03-97B5-C32662C21714}"/>
  </w:font>
  <w:font w:name="Arial">
    <w:panose1 w:val="020B0604020202020204"/>
    <w:charset w:val="01"/>
    <w:family w:val="swiss"/>
    <w:pitch w:val="default"/>
    <w:sig w:usb0="E0002AFF" w:usb1="C0007843" w:usb2="00000009" w:usb3="00000000" w:csb0="400001FF" w:csb1="FFFF0000"/>
    <w:embedRegular r:id="rId2" w:fontKey="{8AE5A128-B1E5-43F0-894D-CD201E624260}"/>
  </w:font>
  <w:font w:name="黑体">
    <w:panose1 w:val="02010609060101010101"/>
    <w:charset w:val="86"/>
    <w:family w:val="auto"/>
    <w:pitch w:val="default"/>
    <w:sig w:usb0="800002BF" w:usb1="38CF7CFA" w:usb2="00000016" w:usb3="00000000" w:csb0="00040001" w:csb1="00000000"/>
    <w:embedRegular r:id="rId3" w:fontKey="{9E05D99D-69B7-4DC4-AEED-A4FD2712E864}"/>
  </w:font>
  <w:font w:name="Courier New">
    <w:panose1 w:val="02070309020205020404"/>
    <w:charset w:val="01"/>
    <w:family w:val="modern"/>
    <w:pitch w:val="default"/>
    <w:sig w:usb0="E0002AFF" w:usb1="C0007843" w:usb2="00000009" w:usb3="00000000" w:csb0="400001FF" w:csb1="FFFF0000"/>
    <w:embedRegular r:id="rId4" w:fontKey="{07189EED-AF11-4FC9-82AC-994D3D9D5DDE}"/>
  </w:font>
  <w:font w:name="Symbol">
    <w:panose1 w:val="05050102010706020507"/>
    <w:charset w:val="02"/>
    <w:family w:val="roman"/>
    <w:pitch w:val="default"/>
    <w:sig w:usb0="00000000" w:usb1="00000000" w:usb2="00000000" w:usb3="00000000" w:csb0="80000000" w:csb1="00000000"/>
    <w:embedRegular r:id="rId5" w:fontKey="{624530F3-0CF0-4D35-A192-729948BD29EF}"/>
  </w:font>
  <w:font w:name="Calibri">
    <w:panose1 w:val="020F0502020204030204"/>
    <w:charset w:val="00"/>
    <w:family w:val="swiss"/>
    <w:pitch w:val="default"/>
    <w:sig w:usb0="E00002FF" w:usb1="4000ACFF" w:usb2="00000001" w:usb3="00000000" w:csb0="2000019F" w:csb1="00000000"/>
    <w:embedRegular r:id="rId6" w:fontKey="{1B80D021-C758-4852-B9B2-E429D18A15F3}"/>
  </w:font>
  <w:font w:name="Cambria">
    <w:panose1 w:val="02040503050406030204"/>
    <w:charset w:val="00"/>
    <w:family w:val="roman"/>
    <w:pitch w:val="default"/>
    <w:sig w:usb0="E00002FF" w:usb1="400004FF" w:usb2="00000000" w:usb3="00000000" w:csb0="2000019F" w:csb1="00000000"/>
    <w:embedRegular r:id="rId7" w:fontKey="{CFC2A55D-160B-4338-B7DA-69D3D281BF38}"/>
  </w:font>
  <w:font w:name="方正小标宋简体">
    <w:panose1 w:val="03000509000000000000"/>
    <w:charset w:val="86"/>
    <w:family w:val="script"/>
    <w:pitch w:val="default"/>
    <w:sig w:usb0="00000001" w:usb1="080E0000" w:usb2="00000000" w:usb3="00000000" w:csb0="00040000" w:csb1="00000000"/>
    <w:embedRegular r:id="rId8" w:fontKey="{8CF8628F-9FB5-4E8A-8BBE-8070395018AB}"/>
  </w:font>
  <w:font w:name="仿宋">
    <w:panose1 w:val="02010609060101010101"/>
    <w:charset w:val="86"/>
    <w:family w:val="modern"/>
    <w:pitch w:val="default"/>
    <w:sig w:usb0="800002BF" w:usb1="38CF7CFA" w:usb2="00000016" w:usb3="00000000" w:csb0="00040001" w:csb1="00000000"/>
    <w:embedRegular r:id="rId9" w:fontKey="{BCC3E7E4-17A9-4B9A-BA08-265D18BC2927}"/>
  </w:font>
  <w:font w:name="仿宋_GB2312">
    <w:panose1 w:val="02010609030101010101"/>
    <w:charset w:val="86"/>
    <w:family w:val="auto"/>
    <w:pitch w:val="default"/>
    <w:sig w:usb0="00000001" w:usb1="080E0000" w:usb2="00000000" w:usb3="00000000" w:csb0="00040000" w:csb1="00000000"/>
    <w:embedRegular r:id="rId10" w:fontKey="{E3C7B122-545E-4DF7-A8C2-190117C8DAEC}"/>
  </w:font>
  <w:font w:name="楷体">
    <w:panose1 w:val="02010609060101010101"/>
    <w:charset w:val="86"/>
    <w:family w:val="modern"/>
    <w:pitch w:val="default"/>
    <w:sig w:usb0="800002BF" w:usb1="38CF7CFA" w:usb2="00000016" w:usb3="00000000" w:csb0="00040001" w:csb1="00000000"/>
    <w:embedRegular r:id="rId11" w:fontKey="{FC334BCA-1D61-4C29-8216-38507EB51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lang w:val="en-US" w:eastAsia="zh-CN"/>
      </w:rPr>
    </w:pPr>
    <w:r>
      <w:rPr>
        <w:lang w:val="en-US" w:eastAsia="zh-CN"/>
      </w:rPr>
      <w:fldChar w:fldCharType="begin"/>
    </w:r>
    <w:r>
      <w:rPr>
        <w:lang w:val="en-US" w:eastAsia="zh-CN"/>
      </w:rPr>
      <w:instrText xml:space="preserve">PAGE   \* MERGEFORMAT</w:instrText>
    </w:r>
    <w:r>
      <w:rPr>
        <w:lang w:val="en-US" w:eastAsia="zh-CN"/>
      </w:rPr>
      <w:fldChar w:fldCharType="separate"/>
    </w:r>
    <w:r>
      <w:rPr>
        <w:lang w:val="zh-CN" w:eastAsia="zh-CN"/>
      </w:rPr>
      <w:t>25</w:t>
    </w:r>
    <w:r>
      <w:rPr>
        <w:lang w:val="en-US" w:eastAsia="zh-CN"/>
      </w:rPr>
      <w:fldChar w:fldCharType="end"/>
    </w:r>
  </w:p>
  <w:p>
    <w:pPr>
      <w:pStyle w:val="16"/>
      <w:rPr>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left"/>
      <w:rPr>
        <w:rFonts w:hint="eastAsia" w:eastAsia="宋体"/>
        <w:lang w:val="en-US" w:eastAsia="zh-CN"/>
      </w:rPr>
    </w:pPr>
    <w:r>
      <w:rPr>
        <w:rFonts w:hint="eastAsia"/>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3"/>
  <w:displayBackgroundShape w:val="1"/>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94"/>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yMzI2MjMwMDcxYTE0ZWNiZDgxODMxNjJjNTFjMTUifQ=="/>
  </w:docVars>
  <w:rsids>
    <w:rsidRoot w:val="00000000"/>
    <w:rsid w:val="6F6235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0" w:semiHidden="0" w:name="Light Shading"/>
    <w:lsdException w:unhideWhenUsed="0" w:uiPriority="0" w:semiHidden="0" w:name="Light List"/>
    <w:lsdException w:unhideWhenUsed="0" w:uiPriority="0" w:semiHidden="0" w:name="Light Grid"/>
    <w:lsdException w:unhideWhenUsed="0" w:uiPriority="0" w:semiHidden="0" w:name="Medium Shading 1"/>
    <w:lsdException w:unhideWhenUsed="0" w:uiPriority="0" w:semiHidden="0" w:name="Medium Shading 2"/>
    <w:lsdException w:unhideWhenUsed="0" w:uiPriority="0" w:semiHidden="0" w:name="Medium List 1"/>
    <w:lsdException w:unhideWhenUsed="0" w:uiPriority="0" w:semiHidden="0" w:name="Medium List 2"/>
    <w:lsdException w:unhideWhenUsed="0" w:uiPriority="0" w:semiHidden="0" w:name="Medium Grid 1"/>
    <w:lsdException w:unhideWhenUsed="0" w:uiPriority="0" w:semiHidden="0" w:name="Medium Grid 2"/>
    <w:lsdException w:unhideWhenUsed="0" w:uiPriority="0" w:semiHidden="0" w:name="Medium Grid 3"/>
    <w:lsdException w:unhideWhenUsed="0" w:uiPriority="0" w:semiHidden="0" w:name="Dark List"/>
    <w:lsdException w:unhideWhenUsed="0" w:uiPriority="0" w:semiHidden="0" w:name="Colorful Shading"/>
    <w:lsdException w:unhideWhenUsed="0" w:uiPriority="0" w:semiHidden="0" w:name="Colorful List"/>
    <w:lsdException w:unhideWhenUsed="0" w:uiPriority="0" w:semiHidden="0" w:name="Colorful Grid"/>
    <w:lsdException w:unhideWhenUsed="0" w:uiPriority="0" w:semiHidden="0" w:name="Light Shading Accent 1"/>
    <w:lsdException w:unhideWhenUsed="0" w:uiPriority="0" w:semiHidden="0" w:name="Light List Accent 1"/>
    <w:lsdException w:unhideWhenUsed="0" w:uiPriority="0" w:semiHidden="0" w:name="Light Grid Accent 1"/>
    <w:lsdException w:unhideWhenUsed="0" w:uiPriority="0" w:semiHidden="0" w:name="Medium Shading 1 Accent 1"/>
    <w:lsdException w:unhideWhenUsed="0" w:uiPriority="0" w:semiHidden="0" w:name="Medium Shading 2 Accent 1"/>
    <w:lsdException w:unhideWhenUsed="0" w:uiPriority="0" w:semiHidden="0" w:name="Medium List 1 Accent 1"/>
    <w:lsdException w:unhideWhenUsed="0" w:uiPriority="0" w:semiHidden="0" w:name="Medium List 2 Accent 1"/>
    <w:lsdException w:unhideWhenUsed="0" w:uiPriority="0" w:semiHidden="0" w:name="Medium Grid 1 Accent 1"/>
    <w:lsdException w:unhideWhenUsed="0" w:uiPriority="0" w:semiHidden="0" w:name="Medium Grid 2 Accent 1"/>
    <w:lsdException w:unhideWhenUsed="0" w:uiPriority="0" w:semiHidden="0" w:name="Medium Grid 3 Accent 1"/>
    <w:lsdException w:unhideWhenUsed="0" w:uiPriority="0" w:semiHidden="0" w:name="Dark List Accent 1"/>
    <w:lsdException w:unhideWhenUsed="0" w:uiPriority="0" w:semiHidden="0" w:name="Colorful Shading Accent 1"/>
    <w:lsdException w:unhideWhenUsed="0" w:uiPriority="0" w:semiHidden="0" w:name="Colorful List Accent 1"/>
    <w:lsdException w:unhideWhenUsed="0" w:uiPriority="0" w:semiHidden="0" w:name="Colorful Grid Accent 1"/>
    <w:lsdException w:unhideWhenUsed="0" w:uiPriority="0" w:semiHidden="0" w:name="Light Shading Accent 2"/>
    <w:lsdException w:unhideWhenUsed="0" w:uiPriority="0" w:semiHidden="0" w:name="Light List Accent 2"/>
    <w:lsdException w:unhideWhenUsed="0" w:uiPriority="0" w:semiHidden="0" w:name="Light Grid Accent 2"/>
    <w:lsdException w:unhideWhenUsed="0" w:uiPriority="0" w:semiHidden="0" w:name="Medium Shading 1 Accent 2"/>
    <w:lsdException w:unhideWhenUsed="0" w:uiPriority="0" w:semiHidden="0" w:name="Medium Shading 2 Accent 2"/>
    <w:lsdException w:unhideWhenUsed="0" w:uiPriority="0" w:semiHidden="0" w:name="Medium List 1 Accent 2"/>
    <w:lsdException w:unhideWhenUsed="0" w:uiPriority="0" w:semiHidden="0" w:name="Medium List 2 Accent 2"/>
    <w:lsdException w:unhideWhenUsed="0" w:uiPriority="0" w:semiHidden="0" w:name="Medium Grid 1 Accent 2"/>
    <w:lsdException w:unhideWhenUsed="0" w:uiPriority="0" w:semiHidden="0" w:name="Medium Grid 2 Accent 2"/>
    <w:lsdException w:unhideWhenUsed="0" w:uiPriority="0" w:semiHidden="0" w:name="Medium Grid 3 Accent 2"/>
    <w:lsdException w:unhideWhenUsed="0" w:uiPriority="0" w:semiHidden="0" w:name="Dark List Accent 2"/>
    <w:lsdException w:unhideWhenUsed="0" w:uiPriority="0" w:semiHidden="0" w:name="Colorful Shading Accent 2"/>
    <w:lsdException w:unhideWhenUsed="0" w:uiPriority="0" w:semiHidden="0" w:name="Colorful List Accent 2"/>
    <w:lsdException w:unhideWhenUsed="0" w:uiPriority="0" w:semiHidden="0" w:name="Colorful Grid Accent 2"/>
    <w:lsdException w:unhideWhenUsed="0" w:uiPriority="0" w:semiHidden="0" w:name="Light Shading Accent 3"/>
    <w:lsdException w:unhideWhenUsed="0" w:uiPriority="0" w:semiHidden="0" w:name="Light List Accent 3"/>
    <w:lsdException w:unhideWhenUsed="0" w:uiPriority="0" w:semiHidden="0" w:name="Light Grid Accent 3"/>
    <w:lsdException w:unhideWhenUsed="0" w:uiPriority="0" w:semiHidden="0" w:name="Medium Shading 1 Accent 3"/>
    <w:lsdException w:unhideWhenUsed="0" w:uiPriority="0" w:semiHidden="0" w:name="Medium Shading 2 Accent 3"/>
    <w:lsdException w:unhideWhenUsed="0" w:uiPriority="0" w:semiHidden="0" w:name="Medium List 1 Accent 3"/>
    <w:lsdException w:unhideWhenUsed="0" w:uiPriority="0" w:semiHidden="0" w:name="Medium List 2 Accent 3"/>
    <w:lsdException w:unhideWhenUsed="0" w:uiPriority="0" w:semiHidden="0" w:name="Medium Grid 1 Accent 3"/>
    <w:lsdException w:unhideWhenUsed="0" w:uiPriority="0" w:semiHidden="0" w:name="Medium Grid 2 Accent 3"/>
    <w:lsdException w:unhideWhenUsed="0" w:uiPriority="0" w:semiHidden="0" w:name="Medium Grid 3 Accent 3"/>
    <w:lsdException w:unhideWhenUsed="0" w:uiPriority="0" w:semiHidden="0" w:name="Dark List Accent 3"/>
    <w:lsdException w:unhideWhenUsed="0" w:uiPriority="0" w:semiHidden="0" w:name="Colorful Shading Accent 3"/>
    <w:lsdException w:unhideWhenUsed="0" w:uiPriority="0" w:semiHidden="0" w:name="Colorful List Accent 3"/>
    <w:lsdException w:unhideWhenUsed="0" w:uiPriority="0" w:semiHidden="0" w:name="Colorful Grid Accent 3"/>
    <w:lsdException w:unhideWhenUsed="0" w:uiPriority="0" w:semiHidden="0" w:name="Light Shading Accent 4"/>
    <w:lsdException w:unhideWhenUsed="0" w:uiPriority="0" w:semiHidden="0" w:name="Light List Accent 4"/>
    <w:lsdException w:unhideWhenUsed="0" w:uiPriority="0" w:semiHidden="0" w:name="Light Grid Accent 4"/>
    <w:lsdException w:unhideWhenUsed="0" w:uiPriority="0" w:semiHidden="0" w:name="Medium Shading 1 Accent 4"/>
    <w:lsdException w:unhideWhenUsed="0" w:uiPriority="0" w:semiHidden="0" w:name="Medium Shading 2 Accent 4"/>
    <w:lsdException w:unhideWhenUsed="0" w:uiPriority="0" w:semiHidden="0" w:name="Medium List 1 Accent 4"/>
    <w:lsdException w:unhideWhenUsed="0" w:uiPriority="0" w:semiHidden="0" w:name="Medium List 2 Accent 4"/>
    <w:lsdException w:unhideWhenUsed="0" w:uiPriority="0" w:semiHidden="0" w:name="Medium Grid 1 Accent 4"/>
    <w:lsdException w:unhideWhenUsed="0" w:uiPriority="0" w:semiHidden="0" w:name="Medium Grid 2 Accent 4"/>
    <w:lsdException w:unhideWhenUsed="0" w:uiPriority="0" w:semiHidden="0" w:name="Medium Grid 3 Accent 4"/>
    <w:lsdException w:unhideWhenUsed="0" w:uiPriority="0" w:semiHidden="0" w:name="Dark List Accent 4"/>
    <w:lsdException w:unhideWhenUsed="0" w:uiPriority="0" w:semiHidden="0" w:name="Colorful Shading Accent 4"/>
    <w:lsdException w:unhideWhenUsed="0" w:uiPriority="0" w:semiHidden="0" w:name="Colorful List Accent 4"/>
    <w:lsdException w:unhideWhenUsed="0" w:uiPriority="0" w:semiHidden="0" w:name="Colorful Grid Accent 4"/>
    <w:lsdException w:unhideWhenUsed="0" w:uiPriority="0" w:semiHidden="0" w:name="Light Shading Accent 5"/>
    <w:lsdException w:unhideWhenUsed="0" w:uiPriority="0" w:semiHidden="0" w:name="Light List Accent 5"/>
    <w:lsdException w:unhideWhenUsed="0" w:uiPriority="0" w:semiHidden="0" w:name="Light Grid Accent 5"/>
    <w:lsdException w:unhideWhenUsed="0" w:uiPriority="0" w:semiHidden="0" w:name="Medium Shading 1 Accent 5"/>
    <w:lsdException w:unhideWhenUsed="0" w:uiPriority="0" w:semiHidden="0" w:name="Medium Shading 2 Accent 5"/>
    <w:lsdException w:unhideWhenUsed="0" w:uiPriority="0" w:semiHidden="0" w:name="Medium List 1 Accent 5"/>
    <w:lsdException w:unhideWhenUsed="0" w:uiPriority="0" w:semiHidden="0" w:name="Medium List 2 Accent 5"/>
    <w:lsdException w:unhideWhenUsed="0" w:uiPriority="0" w:semiHidden="0" w:name="Medium Grid 1 Accent 5"/>
    <w:lsdException w:unhideWhenUsed="0" w:uiPriority="0" w:semiHidden="0" w:name="Medium Grid 2 Accent 5"/>
    <w:lsdException w:unhideWhenUsed="0" w:uiPriority="0" w:semiHidden="0" w:name="Medium Grid 3 Accent 5"/>
    <w:lsdException w:unhideWhenUsed="0" w:uiPriority="0" w:semiHidden="0" w:name="Dark List Accent 5"/>
    <w:lsdException w:unhideWhenUsed="0" w:uiPriority="0" w:semiHidden="0" w:name="Colorful Shading Accent 5"/>
    <w:lsdException w:unhideWhenUsed="0" w:uiPriority="0" w:semiHidden="0" w:name="Colorful List Accent 5"/>
    <w:lsdException w:unhideWhenUsed="0" w:uiPriority="0" w:semiHidden="0" w:name="Colorful Grid Accent 5"/>
    <w:lsdException w:unhideWhenUsed="0" w:uiPriority="0" w:semiHidden="0" w:name="Light Shading Accent 6"/>
    <w:lsdException w:unhideWhenUsed="0" w:uiPriority="0" w:semiHidden="0" w:name="Light List Accent 6"/>
    <w:lsdException w:unhideWhenUsed="0" w:uiPriority="0" w:semiHidden="0" w:name="Light Grid Accent 6"/>
    <w:lsdException w:unhideWhenUsed="0" w:uiPriority="0" w:semiHidden="0" w:name="Medium Shading 1 Accent 6"/>
    <w:lsdException w:unhideWhenUsed="0" w:uiPriority="0" w:semiHidden="0" w:name="Medium Shading 2 Accent 6"/>
    <w:lsdException w:unhideWhenUsed="0" w:uiPriority="0" w:semiHidden="0" w:name="Medium List 1 Accent 6"/>
    <w:lsdException w:unhideWhenUsed="0" w:uiPriority="0" w:semiHidden="0" w:name="Medium List 2 Accent 6"/>
    <w:lsdException w:unhideWhenUsed="0" w:uiPriority="0" w:semiHidden="0" w:name="Medium Grid 1 Accent 6"/>
    <w:lsdException w:unhideWhenUsed="0" w:uiPriority="0" w:semiHidden="0" w:name="Medium Grid 2 Accent 6"/>
    <w:lsdException w:unhideWhenUsed="0" w:uiPriority="0" w:semiHidden="0" w:name="Medium Grid 3 Accent 6"/>
    <w:lsdException w:unhideWhenUsed="0" w:uiPriority="0" w:semiHidden="0" w:name="Dark List Accent 6"/>
    <w:lsdException w:unhideWhenUsed="0" w:uiPriority="0" w:semiHidden="0" w:name="Colorful Shading Accent 6"/>
    <w:lsdException w:unhideWhenUsed="0" w:uiPriority="0" w:semiHidden="0" w:name="Colorful List Accent 6"/>
    <w:lsdException w:unhideWhenUsed="0" w:uiPriority="0"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character" w:default="1" w:styleId="4">
    <w:name w:val="Default Paragraph Font"/>
    <w:unhideWhenUsed/>
    <w:uiPriority w:val="0"/>
  </w:style>
  <w:style w:type="table" w:default="1" w:styleId="2">
    <w:name w:val="Normal Table"/>
    <w:semiHidden/>
    <w:unhideWhenUsed/>
    <w:qFormat/>
    <w:uiPriority w:val="99"/>
    <w:tblPr>
      <w:tblStyle w:val="2"/>
      <w:tblCellMar>
        <w:top w:w="0" w:type="dxa"/>
        <w:left w:w="108" w:type="dxa"/>
        <w:bottom w:w="0" w:type="dxa"/>
        <w:right w:w="108" w:type="dxa"/>
      </w:tblCellMar>
    </w:tblPr>
    <w:trPr>
      <w:wBefore w:w="0" w:type="dxa"/>
    </w:trPr>
  </w:style>
  <w:style w:type="table" w:styleId="3">
    <w:name w:val="Table Grid"/>
    <w:basedOn w:val="2"/>
    <w:uiPriority w:val="0"/>
    <w:tblPr>
      <w:tblStyle w:val="2"/>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wBefore w:w="0" w:type="dxa"/>
    </w:trPr>
  </w:style>
  <w:style w:type="character" w:styleId="5">
    <w:name w:val="Hyperlink"/>
    <w:unhideWhenUsed/>
    <w:uiPriority w:val="99"/>
    <w:rPr>
      <w:color w:val="0000FF"/>
      <w:u w:val="single"/>
    </w:rPr>
  </w:style>
  <w:style w:type="paragraph" w:customStyle="1" w:styleId="6">
    <w:name w:val="标题 11"/>
    <w:basedOn w:val="1"/>
    <w:next w:val="1"/>
    <w:link w:val="10"/>
    <w:qFormat/>
    <w:uiPriority w:val="9"/>
    <w:pPr>
      <w:keepNext/>
      <w:keepLines/>
      <w:spacing w:before="340" w:after="330" w:line="578" w:lineRule="atLeast"/>
      <w:outlineLvl w:val="0"/>
    </w:pPr>
    <w:rPr>
      <w:b/>
      <w:bCs/>
      <w:kern w:val="44"/>
      <w:sz w:val="44"/>
      <w:szCs w:val="44"/>
      <w:lang w:val="en-US" w:eastAsia="zh-CN"/>
    </w:rPr>
  </w:style>
  <w:style w:type="paragraph" w:customStyle="1" w:styleId="7">
    <w:name w:val="标题 21"/>
    <w:basedOn w:val="1"/>
    <w:next w:val="1"/>
    <w:link w:val="11"/>
    <w:qFormat/>
    <w:uiPriority w:val="9"/>
    <w:pPr>
      <w:keepNext/>
      <w:keepLines/>
      <w:spacing w:before="260" w:after="260" w:line="416" w:lineRule="atLeast"/>
      <w:outlineLvl w:val="1"/>
    </w:pPr>
    <w:rPr>
      <w:rFonts w:ascii="Cambria" w:hAnsi="Cambria" w:eastAsia="宋体" w:cs="Times New Roman"/>
      <w:b/>
      <w:bCs/>
      <w:sz w:val="32"/>
      <w:szCs w:val="32"/>
      <w:lang w:val="en-US" w:eastAsia="zh-CN"/>
    </w:rPr>
  </w:style>
  <w:style w:type="paragraph" w:customStyle="1" w:styleId="8">
    <w:name w:val="标题 31"/>
    <w:basedOn w:val="1"/>
    <w:next w:val="1"/>
    <w:link w:val="12"/>
    <w:uiPriority w:val="9"/>
    <w:pPr>
      <w:keepNext/>
      <w:keepLines/>
      <w:spacing w:before="260" w:after="260" w:line="416" w:lineRule="atLeast"/>
      <w:outlineLvl w:val="2"/>
    </w:pPr>
    <w:rPr>
      <w:b/>
      <w:bCs/>
      <w:sz w:val="32"/>
      <w:szCs w:val="32"/>
      <w:lang w:val="en-US" w:eastAsia="zh-CN"/>
    </w:rPr>
  </w:style>
  <w:style w:type="table" w:customStyle="1" w:styleId="9">
    <w:name w:val="普通表格1"/>
    <w:unhideWhenUsed/>
    <w:uiPriority w:val="99"/>
    <w:tblPr>
      <w:tblStyle w:val="2"/>
      <w:tblCellMar>
        <w:top w:w="0" w:type="dxa"/>
        <w:left w:w="108" w:type="dxa"/>
        <w:bottom w:w="0" w:type="dxa"/>
        <w:right w:w="108" w:type="dxa"/>
      </w:tblCellMar>
    </w:tblPr>
    <w:trPr>
      <w:wBefore w:w="0" w:type="dxa"/>
    </w:trPr>
  </w:style>
  <w:style w:type="character" w:customStyle="1" w:styleId="10">
    <w:name w:val="标题 1 字符"/>
    <w:link w:val="6"/>
    <w:uiPriority w:val="9"/>
    <w:rPr>
      <w:b/>
      <w:bCs/>
      <w:kern w:val="44"/>
      <w:sz w:val="44"/>
      <w:szCs w:val="44"/>
    </w:rPr>
  </w:style>
  <w:style w:type="character" w:customStyle="1" w:styleId="11">
    <w:name w:val="标题 2 字符"/>
    <w:link w:val="7"/>
    <w:semiHidden/>
    <w:uiPriority w:val="9"/>
    <w:rPr>
      <w:rFonts w:ascii="Cambria" w:hAnsi="Cambria" w:eastAsia="宋体" w:cs="Times New Roman"/>
      <w:b/>
      <w:bCs/>
      <w:sz w:val="32"/>
      <w:szCs w:val="32"/>
    </w:rPr>
  </w:style>
  <w:style w:type="character" w:customStyle="1" w:styleId="12">
    <w:name w:val="标题 3 字符"/>
    <w:link w:val="8"/>
    <w:semiHidden/>
    <w:uiPriority w:val="9"/>
    <w:rPr>
      <w:b/>
      <w:bCs/>
      <w:sz w:val="32"/>
      <w:szCs w:val="32"/>
    </w:rPr>
  </w:style>
  <w:style w:type="paragraph" w:customStyle="1" w:styleId="13">
    <w:name w:val="目录 31"/>
    <w:basedOn w:val="1"/>
    <w:next w:val="1"/>
    <w:unhideWhenUsed/>
    <w:uiPriority w:val="39"/>
    <w:pPr>
      <w:widowControl/>
      <w:adjustRightInd/>
      <w:spacing w:after="100" w:line="276" w:lineRule="auto"/>
      <w:ind w:left="440"/>
      <w:textAlignment w:val="auto"/>
    </w:pPr>
    <w:rPr>
      <w:rFonts w:ascii="Calibri" w:hAnsi="Calibri" w:eastAsia="宋体" w:cs="Times New Roman"/>
      <w:sz w:val="22"/>
      <w:szCs w:val="22"/>
      <w:lang w:val="en-US" w:eastAsia="zh-CN"/>
    </w:rPr>
  </w:style>
  <w:style w:type="paragraph" w:customStyle="1" w:styleId="14">
    <w:name w:val="批注框文本1"/>
    <w:basedOn w:val="1"/>
    <w:link w:val="15"/>
    <w:unhideWhenUsed/>
    <w:uiPriority w:val="99"/>
    <w:pPr>
      <w:spacing w:line="240" w:lineRule="auto"/>
    </w:pPr>
    <w:rPr>
      <w:sz w:val="18"/>
      <w:szCs w:val="18"/>
      <w:lang w:val="en-US" w:eastAsia="zh-CN"/>
    </w:rPr>
  </w:style>
  <w:style w:type="character" w:customStyle="1" w:styleId="15">
    <w:name w:val="批注框文本 字符"/>
    <w:link w:val="14"/>
    <w:semiHidden/>
    <w:uiPriority w:val="99"/>
    <w:rPr>
      <w:sz w:val="18"/>
      <w:szCs w:val="18"/>
    </w:rPr>
  </w:style>
  <w:style w:type="paragraph" w:customStyle="1" w:styleId="16">
    <w:name w:val="页脚1"/>
    <w:basedOn w:val="1"/>
    <w:link w:val="17"/>
    <w:unhideWhenUsed/>
    <w:qFormat/>
    <w:uiPriority w:val="99"/>
    <w:pPr>
      <w:tabs>
        <w:tab w:val="center" w:pos="4153"/>
        <w:tab w:val="right" w:pos="8306"/>
      </w:tabs>
      <w:snapToGrid w:val="0"/>
      <w:spacing w:line="240" w:lineRule="atLeast"/>
    </w:pPr>
    <w:rPr>
      <w:sz w:val="18"/>
      <w:szCs w:val="18"/>
      <w:lang w:val="en-US" w:eastAsia="zh-CN"/>
    </w:rPr>
  </w:style>
  <w:style w:type="character" w:customStyle="1" w:styleId="17">
    <w:name w:val="页脚 字符"/>
    <w:link w:val="16"/>
    <w:uiPriority w:val="99"/>
    <w:rPr>
      <w:sz w:val="18"/>
      <w:szCs w:val="18"/>
    </w:rPr>
  </w:style>
  <w:style w:type="paragraph" w:customStyle="1" w:styleId="18">
    <w:name w:val="页眉1"/>
    <w:basedOn w:val="1"/>
    <w:link w:val="19"/>
    <w:unhideWhenUsed/>
    <w:qFormat/>
    <w:uiPriority w:val="0"/>
    <w:pPr>
      <w:pBdr>
        <w:bottom w:val="single" w:color="000000" w:sz="6" w:space="1"/>
      </w:pBdr>
      <w:tabs>
        <w:tab w:val="center" w:pos="4153"/>
        <w:tab w:val="right" w:pos="8306"/>
      </w:tabs>
      <w:snapToGrid w:val="0"/>
      <w:spacing w:line="240" w:lineRule="atLeast"/>
      <w:jc w:val="center"/>
    </w:pPr>
    <w:rPr>
      <w:sz w:val="18"/>
      <w:szCs w:val="18"/>
      <w:lang w:val="en-US" w:eastAsia="zh-CN"/>
    </w:rPr>
  </w:style>
  <w:style w:type="character" w:customStyle="1" w:styleId="19">
    <w:name w:val="页眉 字符"/>
    <w:link w:val="18"/>
    <w:semiHidden/>
    <w:uiPriority w:val="0"/>
    <w:rPr>
      <w:sz w:val="18"/>
      <w:szCs w:val="18"/>
    </w:rPr>
  </w:style>
  <w:style w:type="paragraph" w:customStyle="1" w:styleId="20">
    <w:name w:val="目录 11"/>
    <w:basedOn w:val="1"/>
    <w:next w:val="1"/>
    <w:unhideWhenUsed/>
    <w:uiPriority w:val="39"/>
    <w:pPr>
      <w:widowControl/>
      <w:tabs>
        <w:tab w:val="right" w:leader="dot" w:pos="8296"/>
      </w:tabs>
      <w:adjustRightInd/>
      <w:spacing w:after="100" w:line="276" w:lineRule="auto"/>
      <w:textAlignment w:val="auto"/>
    </w:pPr>
    <w:rPr>
      <w:rFonts w:ascii="黑体" w:hAnsi="黑体" w:eastAsia="黑体" w:cs="方正小标宋简体"/>
      <w:sz w:val="22"/>
      <w:szCs w:val="22"/>
      <w:lang w:val="en-US" w:eastAsia="zh-CN"/>
    </w:rPr>
  </w:style>
  <w:style w:type="paragraph" w:customStyle="1" w:styleId="21">
    <w:name w:val="目录 21"/>
    <w:basedOn w:val="1"/>
    <w:next w:val="1"/>
    <w:unhideWhenUsed/>
    <w:qFormat/>
    <w:uiPriority w:val="39"/>
    <w:pPr>
      <w:widowControl/>
      <w:adjustRightInd/>
      <w:spacing w:after="100" w:line="276" w:lineRule="auto"/>
      <w:ind w:left="220"/>
      <w:textAlignment w:val="auto"/>
    </w:pPr>
    <w:rPr>
      <w:rFonts w:ascii="Calibri" w:hAnsi="Calibri" w:eastAsia="宋体" w:cs="Times New Roman"/>
      <w:sz w:val="22"/>
      <w:szCs w:val="22"/>
      <w:lang w:val="en-US" w:eastAsia="zh-CN"/>
    </w:rPr>
  </w:style>
  <w:style w:type="paragraph" w:customStyle="1" w:styleId="22">
    <w:name w:val="普通(网站)1"/>
    <w:basedOn w:val="1"/>
    <w:unhideWhenUsed/>
    <w:uiPriority w:val="99"/>
    <w:rPr>
      <w:sz w:val="24"/>
      <w:lang w:val="en-US" w:eastAsia="zh-CN"/>
    </w:rPr>
  </w:style>
  <w:style w:type="paragraph" w:customStyle="1" w:styleId="23">
    <w:name w:val="TOC 标题1"/>
    <w:basedOn w:val="6"/>
    <w:next w:val="1"/>
    <w:unhideWhenUsed/>
    <w:uiPriority w:val="39"/>
    <w:pPr>
      <w:widowControl/>
      <w:adjustRightInd/>
      <w:spacing w:before="480" w:after="0" w:line="276" w:lineRule="auto"/>
      <w:textAlignment w:val="auto"/>
      <w:outlineLvl w:val="9"/>
    </w:pPr>
    <w:rPr>
      <w:rFonts w:ascii="Cambria" w:hAnsi="Cambria" w:eastAsia="宋体" w:cs="Times New Roman"/>
      <w:color w:val="365F91"/>
      <w:kern w:val="0"/>
      <w:sz w:val="28"/>
      <w:szCs w:val="28"/>
      <w:lang w:val="en-US" w:eastAsia="zh-CN"/>
    </w:rPr>
  </w:style>
  <w:style w:type="paragraph" w:customStyle="1" w:styleId="24">
    <w:name w:val="WPSOffice手动目录 1"/>
    <w:qFormat/>
    <w:uiPriority w:val="0"/>
    <w:rPr>
      <w:lang w:val="en-US" w:eastAsia="zh-CN" w:bidi="ar-SA"/>
    </w:rPr>
  </w:style>
  <w:style w:type="paragraph" w:customStyle="1" w:styleId="25">
    <w:name w:val="WPSOffice手动目录 2"/>
    <w:uiPriority w:val="0"/>
    <w:pPr>
      <w:ind w:leftChars="200"/>
    </w:pPr>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7856</Words>
  <Characters>36172</Characters>
  <Lines>757</Lines>
  <Paragraphs>153</Paragraphs>
  <TotalTime>0</TotalTime>
  <ScaleCrop>false</ScaleCrop>
  <LinksUpToDate>false</LinksUpToDate>
  <CharactersWithSpaces>36886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2019-08-02T02:37:00Z</dcterms:created>
  <dc:creator>Administrator</dc:creator>
  <cp:lastModifiedBy>admin</cp:lastModifiedBy>
  <cp:lastPrinted>2025-06-29T11:27:00Z</cp:lastPrinted>
  <dcterms:modified xsi:type="dcterms:W3CDTF">2025-09-25T06:32:05Z</dcterms:modified>
  <dc:title>附件1</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8499FC04FCE74EBF8094430A75DAE203</vt:lpwstr>
  </property>
  <property fmtid="{D5CDD505-2E9C-101B-9397-08002B2CF9AE}" pid="4" name="KSOTemplateDocerSaveRecord">
    <vt:lpwstr>eyJoZGlkIjoiODgzZTJjYjQ2MzgxZGFiOGM0YTQ3ZmQ0OWFhZTMwYTciLCJ1c2VySWQiOiIyMzQ4MTUwNTgifQ==</vt:lpwstr>
  </property>
</Properties>
</file>