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  <w:bookmarkStart w:id="14" w:name="_GoBack"/>
      <w:bookmarkEnd w:id="14"/>
    </w:p>
    <w:p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天津经济技术开发区北部片区管理局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2026年部门预算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pStyle w:val="2"/>
        <w:ind w:firstLine="480"/>
        <w:rPr>
          <w:rFonts w:hint="eastAsia"/>
        </w:rPr>
      </w:pPr>
    </w:p>
    <w:p>
      <w:pPr>
        <w:snapToGrid w:val="0"/>
        <w:spacing w:line="60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黑体" w:hAnsi="MS Serif" w:eastAsia="黑体"/>
          <w:sz w:val="44"/>
          <w:szCs w:val="44"/>
        </w:rPr>
      </w:pPr>
      <w:r>
        <w:rPr>
          <w:rFonts w:hint="eastAsia" w:ascii="黑体" w:hAnsi="MS Serif" w:eastAsia="黑体"/>
          <w:sz w:val="44"/>
          <w:szCs w:val="44"/>
        </w:rPr>
        <w:t>目   录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第一部分  概 况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一、主要职责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二、机构设置情况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第二部分  2026年部门预算情况说明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一、关于2026年收支预算总表的说明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二、关于2026年收入预算总表的说明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三、关于2026年支出预算总表的说明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四、关于2026年财政拨款收支预算总表的说明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五、关于2026年财政拨款一般公共预算支出预算表的说明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六、关于2026年财政拨款一般公共预算基本支出预算表的说明</w:t>
      </w:r>
    </w:p>
    <w:p>
      <w:pPr>
        <w:adjustRightInd/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七、关于2026年财政拨款一般公共预算“三公”经费支出预算表的说明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八、关于2026年财政拨款政府性基金预算支出预算表的说明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九、关于2026年国有资本经营预算支出预算表的说明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十、其他重要事项的情况说明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第三部分  名词解释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第四部分  2026年部门预算表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 2026年收支预算总表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 2026年收入预算总表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 2026年支出预算总表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 2026年财政拨款收支预算总表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 2026年财政拨款一般公共预算支出预算表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 2026年财政拨款一般公共预算基本支出预算表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 2026年财政拨款一般公共预算“三公”经费支出预算表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 2026年财政拨款政府性基金预算支出预算表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九、 2026年国有资本经营预算支出预算表 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 2026年项目支出预算表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 2026年财政拨款政府采购预算表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十二、2026年项目支出绩效目标表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7" w:h="16840"/>
          <w:pgMar w:top="2098" w:right="1361" w:bottom="1304" w:left="1474" w:header="765" w:footer="765" w:gutter="0"/>
          <w:pgNumType w:fmt="numberInDash"/>
          <w:cols w:space="720" w:num="1"/>
          <w:docGrid w:linePitch="326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</w:p>
    <w:p>
      <w:pPr>
        <w:pStyle w:val="3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第一部分  概 况</w:t>
      </w:r>
      <w:bookmarkEnd w:id="0"/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Toc78784555"/>
      <w:r>
        <w:rPr>
          <w:rFonts w:hint="eastAsia" w:ascii="黑体" w:hAnsi="黑体" w:eastAsia="黑体" w:cs="黑体"/>
          <w:sz w:val="32"/>
          <w:szCs w:val="32"/>
        </w:rPr>
        <w:t>一、主要职责</w:t>
      </w:r>
      <w:bookmarkEnd w:id="1"/>
    </w:p>
    <w:p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bookmarkStart w:id="2" w:name="_Toc78784556"/>
      <w:r>
        <w:rPr>
          <w:rFonts w:hint="eastAsia" w:ascii="楷体_GB2312" w:hAnsi="楷体_GB2312" w:eastAsia="楷体_GB2312" w:cs="楷体_GB2312"/>
          <w:sz w:val="32"/>
          <w:szCs w:val="32"/>
        </w:rPr>
        <w:t>1．主要职能。</w:t>
      </w:r>
    </w:p>
    <w:p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（一）负责北部片区（含现代产业区、一汽大众基地）园区运维、招商、企业服务等日常事务管理工作，协调滨海新区、宁河区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相关街镇和有关部门开展工作。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 xml:space="preserve">    （二）结合北部片区产业定位，开展招商引资工作，完成党委、管委会下达的各项招商引资指标任务。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 xml:space="preserve">    （三）做好项目促进和企业服务工作，不断提高产业园区环境品质和运维服务水平。针对园区环境短板加强巡检抽查，落实问题发现机制、“园区吹哨，部门报到”和考评机制，协调有关部门解决企业的困难和问题。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 xml:space="preserve">    （四）负责企业项目建设施工过程中，协调有关部门做好项目建设、基础设施建设和市政环境运维管理工作。配合处置建设、运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维管理等领域历史遗留问题。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 xml:space="preserve">    （五）负责园区高质量发展调研工作，营造良好的营商环境，不断提高产业园区的运维招商、营商品质和标准。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 xml:space="preserve">    （六）配合做好突发事件先期处置工作。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 xml:space="preserve">    （七）贯彻落实本单位全面从严治党主体责任，严格落实基层党建工作任务，发挥党组织战斗堡垒作用和党员先锋模范作用。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 xml:space="preserve">    （八）完成党委、管委会交办的其他各项工作。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二、机构设置</w:t>
      </w:r>
      <w:bookmarkEnd w:id="2"/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天津经济技术开发区北部片区管理局内设7个职能科室。7个科室具体如下：天津经济技术开发区北部片区管理局下设一个管理中心，共计7个职能科室。具体如下: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（一）综合运维部；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（二）招商运营部；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（三）企业服务部；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（四）项目工程部；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一汽大众基地管理中心：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（五）一汽大众基地综合运维部；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（六）一汽大众基地招商运营部；</w:t>
      </w:r>
      <w:r>
        <w:rPr>
          <w:rFonts w:hint="eastAsia" w:ascii="仿宋_GB2312" w:hAnsi="仿宋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2"/>
          <w:sz w:val="32"/>
          <w:szCs w:val="32"/>
        </w:rPr>
        <w:t>（七）一汽大众基地企业服务部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下辖0个预算单位。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纳入天津经济技术开发区北部片区管理局2026年部门预算编制范围的预算单位包括：</w:t>
      </w:r>
    </w:p>
    <w:p>
      <w:pPr>
        <w:numPr>
          <w:ilvl w:val="0"/>
          <w:numId w:val="1"/>
        </w:num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天津经济技术开发区北部片区管理局本级</w:t>
      </w:r>
    </w:p>
    <w:p>
      <w:pPr>
        <w:pStyle w:val="2"/>
        <w:ind w:firstLine="0" w:firstLineChars="0"/>
        <w:rPr>
          <w:rFonts w:hint="eastAsia"/>
        </w:rPr>
      </w:pPr>
    </w:p>
    <w:p>
      <w:pPr>
        <w:pStyle w:val="3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bookmarkStart w:id="3" w:name="_Toc7878457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第二部分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部门预算情况说明</w:t>
      </w:r>
      <w:bookmarkEnd w:id="3"/>
    </w:p>
    <w:p>
      <w:pPr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4" w:name="_Toc78784571"/>
      <w:r>
        <w:rPr>
          <w:rFonts w:hint="eastAsia" w:ascii="黑体" w:hAnsi="黑体" w:eastAsia="黑体" w:cs="黑体"/>
          <w:sz w:val="32"/>
          <w:szCs w:val="32"/>
        </w:rPr>
        <w:t>一、</w:t>
      </w:r>
      <w:bookmarkEnd w:id="4"/>
      <w:r>
        <w:rPr>
          <w:rFonts w:hint="eastAsia" w:ascii="黑体" w:hAnsi="黑体" w:eastAsia="黑体" w:cs="黑体"/>
          <w:sz w:val="32"/>
          <w:szCs w:val="32"/>
        </w:rPr>
        <w:t>关于2026年收支预算总表的说明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按照综合预算的原则，本部门所有收入和支出均纳入部门预算管理。收入包括：一般公共预算拨款收入</w:t>
      </w:r>
      <w:r>
        <w:rPr>
          <w:rFonts w:hint="eastAsia" w:eastAsia="楷体"/>
          <w:sz w:val="32"/>
          <w:szCs w:val="32"/>
          <w:u w:val="single"/>
        </w:rPr>
        <w:t>509.18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万元、纳入财政专户的教育收费拨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款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万元、其他事业收入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万元、经营收入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万元、上级补助收入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元、上年结转和结余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万元；支出包括：一般公共服务支出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481.68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万元、灾害防治及应急管理支出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27.5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万元。本部门2026年收支总预算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509.18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5" w:name="_Toc78784572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5"/>
      <w:r>
        <w:rPr>
          <w:rFonts w:hint="eastAsia" w:ascii="黑体" w:hAnsi="黑体" w:eastAsia="黑体" w:cs="黑体"/>
          <w:sz w:val="32"/>
          <w:szCs w:val="32"/>
        </w:rPr>
        <w:t>关于2026年收入预算总表的说明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本部门2026年部门预算收入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509.18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2.13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落实过紧日子要求，压缩预算支出 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。其中：上年结转和结余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%；一般公共预算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509.18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100.00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%；政府性基金预算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%；国有资本经营预算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%；纳入财政专户的教育收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费拨款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%；其他事业收入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6" w:name="_Toc78784573"/>
      <w:r>
        <w:rPr>
          <w:rFonts w:hint="eastAsia" w:ascii="黑体" w:hAnsi="黑体" w:eastAsia="黑体" w:cs="黑体"/>
          <w:sz w:val="32"/>
          <w:szCs w:val="32"/>
        </w:rPr>
        <w:t>三、</w:t>
      </w:r>
      <w:bookmarkEnd w:id="6"/>
      <w:r>
        <w:rPr>
          <w:rFonts w:hint="eastAsia" w:ascii="黑体" w:hAnsi="黑体" w:eastAsia="黑体" w:cs="黑体"/>
          <w:sz w:val="32"/>
          <w:szCs w:val="32"/>
        </w:rPr>
        <w:t>关于2026年支出预算总表的说明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本部门2026年支出预算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509.18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2.13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落实过紧日子要求，压缩预算支出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。其中：基本支出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395.63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77.70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113.55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22.30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 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7" w:name="_Toc78784574"/>
      <w:r>
        <w:rPr>
          <w:rFonts w:hint="eastAsia" w:ascii="黑体" w:hAnsi="黑体" w:eastAsia="黑体" w:cs="黑体"/>
          <w:sz w:val="32"/>
          <w:szCs w:val="32"/>
        </w:rPr>
        <w:t>四、</w:t>
      </w:r>
      <w:bookmarkEnd w:id="7"/>
      <w:r>
        <w:rPr>
          <w:rFonts w:hint="eastAsia" w:ascii="黑体" w:hAnsi="黑体" w:eastAsia="黑体" w:cs="黑体"/>
          <w:sz w:val="32"/>
          <w:szCs w:val="32"/>
        </w:rPr>
        <w:t>关于2026年财政拨款收支预算总表的说明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本部门2026年财政拨款收入预算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509.18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落实过紧日子要求，压缩预算支出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。收入包括：一般公共预算拨款收入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509.18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万元、上年财政结转和结余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万元。2026年财政拨款支出预算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509.18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落实过紧日子要求，压缩预算支出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。支出包括：一般公共服务支出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481.68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万元、灾害防治及应急管理支出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27.5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8" w:name="_Toc78784575"/>
      <w:r>
        <w:rPr>
          <w:rFonts w:hint="eastAsia" w:ascii="黑体" w:hAnsi="黑体" w:eastAsia="黑体" w:cs="黑体"/>
          <w:sz w:val="32"/>
          <w:szCs w:val="32"/>
        </w:rPr>
        <w:t>五、</w:t>
      </w:r>
      <w:bookmarkEnd w:id="8"/>
      <w:r>
        <w:rPr>
          <w:rFonts w:hint="eastAsia" w:ascii="黑体" w:hAnsi="黑体" w:eastAsia="黑体" w:cs="黑体"/>
          <w:sz w:val="32"/>
          <w:szCs w:val="32"/>
        </w:rPr>
        <w:t>关于2026年财政拨款一般公共预算支出预算表的说明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本部门2026年一般公共预算支出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509.18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落实过紧日子要求，压缩预算支出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（二）具体情况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1.“一般公共服务支出（类）”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481.68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29.63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落实过紧日子要求，压缩预算支出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“商贸事务（款）”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481.68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万元，包括：“行政运行（项）”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395.63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人员经费支出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；“行政运行（项）”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17.64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日常公用经费支出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；“一般行政管理事务（项）”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4.95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2026年信息化升级改造及运维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；“一般行政管理事务（项）”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49.5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天津开发区一汽大众华北基地建设PPP绩效考核服务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；“一般行政管理事务（项）”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31.6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2个园区运维支出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“灾害防治及应急管理支出（类）”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27.5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落实过紧日子要求，压缩预算支出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“应急管理事务（款）”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27.5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万元，包括：“安全监管（项）”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27.5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2026年北部片区管理局安全生产服务项目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_Toc78784576"/>
      <w:r>
        <w:rPr>
          <w:rFonts w:hint="eastAsia" w:ascii="黑体" w:hAnsi="黑体" w:eastAsia="黑体" w:cs="黑体"/>
          <w:sz w:val="32"/>
          <w:szCs w:val="32"/>
        </w:rPr>
        <w:t>六、</w:t>
      </w:r>
      <w:bookmarkEnd w:id="9"/>
      <w:r>
        <w:rPr>
          <w:rFonts w:hint="eastAsia" w:ascii="黑体" w:hAnsi="黑体" w:eastAsia="黑体" w:cs="黑体"/>
          <w:sz w:val="32"/>
          <w:szCs w:val="32"/>
        </w:rPr>
        <w:t>关于2026年财政拨款一般公共预算基本支出预算表的说明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本部门一般公共预算基本支出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395.63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31.47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落实过紧日子要求，压缩预算支出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378.17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人员经费支出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17.46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日常公用经费支出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10" w:name="_Toc78784577"/>
      <w:r>
        <w:rPr>
          <w:rFonts w:hint="eastAsia" w:ascii="黑体" w:hAnsi="黑体" w:eastAsia="黑体" w:cs="黑体"/>
          <w:sz w:val="32"/>
          <w:szCs w:val="32"/>
        </w:rPr>
        <w:t>七、关于2026年财政拨款一般公共预算“三公”经费支出预算表的说明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2026年一般公共预算“三公”经费安排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本部门一般公共预算未安排“三公”经费。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具体情况：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（一）2026年因公出国（境）费预算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本部门一般公共预算未安排“三公”经费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（二）2026年公务用车购置及运行费预算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万元，其中公务用车运行费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本部门一般公共预算未安排“三公”经费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本部门一般公共预算未安排“三公”经费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（三）2026年公务接待费预算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本部门一般公共预算未安排“三公”经费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</w:t>
      </w:r>
      <w:bookmarkEnd w:id="10"/>
      <w:r>
        <w:rPr>
          <w:rFonts w:hint="eastAsia" w:ascii="黑体" w:hAnsi="黑体" w:eastAsia="黑体" w:cs="黑体"/>
          <w:sz w:val="32"/>
          <w:szCs w:val="32"/>
        </w:rPr>
        <w:t>关于2026年财政拨款政府性基金预算支出预算表的说明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</w:t>
      </w:r>
    </w:p>
    <w:p>
      <w:pPr>
        <w:snapToGrid w:val="0"/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“2026年本部门预算中没有使用政府性基金预算安排的支出”。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11" w:name="_Toc78784578"/>
      <w:r>
        <w:rPr>
          <w:rFonts w:hint="eastAsia" w:ascii="黑体" w:hAnsi="黑体" w:eastAsia="黑体" w:cs="黑体"/>
          <w:sz w:val="32"/>
          <w:szCs w:val="32"/>
        </w:rPr>
        <w:t>九、关于2026年国有资本经营预算支出预算表</w:t>
      </w:r>
      <w:bookmarkEnd w:id="11"/>
      <w:r>
        <w:rPr>
          <w:rFonts w:hint="eastAsia" w:ascii="黑体" w:hAnsi="黑体" w:eastAsia="黑体" w:cs="黑体"/>
          <w:sz w:val="32"/>
          <w:szCs w:val="32"/>
        </w:rPr>
        <w:t>的说明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“2026年本部门预算中没有使用国有资本经营预算安排的支出”。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_Toc78784579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十、其他重要事项的情况说明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（一）机关运行经费</w:t>
      </w:r>
      <w:bookmarkEnd w:id="12"/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本部门2026年参公管理事业单位的机关运行经费预算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15.96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万元，包括办公费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万元、差旅费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万元、培训费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万元、委托业务费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万元、其他交通费用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6.24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万元、其他商品和服务支出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万元、资本性支出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万元、一般设备购置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（二）政府采购情况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本部门2026年安排政府采购预算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49.5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万元。主要项目是：天津开发区一汽大众华北基地建设PPP绩效考核服务项目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49.5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万元，购便携式计算机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1.4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万元，购碎纸机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（三）国有资产占用情况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截至2025年7月底，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各单位共有车辆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辆、主要领导干部用车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辆、机要通信用车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辆、离退休干部用车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0  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其他用车主要包括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无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。单价50万元以上的通用设备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台（套），单价100万元以上的专用设备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（四）预算绩效情况说明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本部门2026年实行绩效目标管理的项目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4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个，涉及预算金额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113.55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  <w:bookmarkStart w:id="13" w:name="_Toc78784585"/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第三部分  名词解释</w:t>
      </w:r>
      <w:bookmarkEnd w:id="13"/>
    </w:p>
    <w:p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1.部门预算。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 机关运行经费。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3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pStyle w:val="3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第四部分  2026年部门预算表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一、2026年收支预算总表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二、2026年收入预算总表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三、2026年支出预算总表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四、2026年财政拨款收支预算总表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五、2026年财政拨款一般公共预算支出预算表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六、2026年财政拨款一般公共预算基本支出预算表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七、2026年财政拨款政府性基金预算支出预算表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八、2026年财政拨款一般公共预算“三公”经费支出预算表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九、2026年财政拨款政府采购预算表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十、2026年项目支出预算表  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十一、2026年国有资本经营预算支出预算表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十二、2026年项目支出绩效目标表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1、本部门2026年财政拨款政府性基金预算支出预算表为空表。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2、本部门2026年国有资本经营预算支出预算表为空表。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3、本部门2026年财政拨款一般公共预算“三公”经费支出预算表为空表。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sectPr>
      <w:pgSz w:w="11907" w:h="16840"/>
      <w:pgMar w:top="2098" w:right="1361" w:bottom="1304" w:left="1474" w:header="765" w:footer="765" w:gutter="0"/>
      <w:pgNumType w:fmt="numberInDash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Serif">
    <w:altName w:val="Segoe Print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ascii="仿宋_GB2312" w:hAnsi="仿宋_GB2312"/>
                            </w:rPr>
                          </w:pPr>
                          <w:r>
                            <w:rPr>
                              <w:rFonts w:ascii="仿宋_GB2312" w:hAnsi="仿宋_GB231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_GB2312" w:hAnsi="仿宋_GB231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/>
                              <w:lang/>
                            </w:rPr>
                            <w:t xml:space="preserve"> 12 -</w:t>
                          </w:r>
                          <w:r>
                            <w:rPr>
                              <w:rFonts w:ascii="仿宋_GB2312" w:hAnsi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Fonts w:ascii="仿宋_GB2312" w:hAnsi="仿宋_GB2312"/>
                      </w:rPr>
                    </w:pPr>
                    <w:r>
                      <w:rPr>
                        <w:rFonts w:ascii="仿宋_GB2312" w:hAnsi="仿宋_GB2312"/>
                      </w:rPr>
                      <w:fldChar w:fldCharType="begin"/>
                    </w:r>
                    <w:r>
                      <w:rPr>
                        <w:rFonts w:ascii="仿宋_GB2312" w:hAnsi="仿宋_GB2312"/>
                      </w:rPr>
                      <w:instrText xml:space="preserve">PAGE   \* MERGEFORMAT</w:instrText>
                    </w:r>
                    <w:r>
                      <w:rPr>
                        <w:rFonts w:ascii="仿宋_GB2312" w:hAnsi="仿宋_GB2312"/>
                      </w:rPr>
                      <w:fldChar w:fldCharType="separate"/>
                    </w:r>
                    <w:r>
                      <w:rPr>
                        <w:rFonts w:ascii="仿宋_GB2312" w:hAnsi="仿宋_GB2312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/>
                        <w:lang/>
                      </w:rPr>
                      <w:t xml:space="preserve"> 12 -</w:t>
                    </w:r>
                    <w:r>
                      <w:rPr>
                        <w:rFonts w:ascii="仿宋_GB2312" w:hAnsi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051DD"/>
    <w:multiLevelType w:val="singleLevel"/>
    <w:tmpl w:val="78A051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TkxMjRjMTRjMjA1NDMyNTBhYzAxNzg4OTc3M2YifQ=="/>
  </w:docVars>
  <w:rsids>
    <w:rsidRoot w:val="00937D77"/>
    <w:rsid w:val="00000C3D"/>
    <w:rsid w:val="0001204D"/>
    <w:rsid w:val="00014B7E"/>
    <w:rsid w:val="000162FC"/>
    <w:rsid w:val="00020DAE"/>
    <w:rsid w:val="00024FCC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6DA5"/>
    <w:rsid w:val="00081133"/>
    <w:rsid w:val="00082771"/>
    <w:rsid w:val="00090B16"/>
    <w:rsid w:val="00093F1A"/>
    <w:rsid w:val="00097C4D"/>
    <w:rsid w:val="000A4C45"/>
    <w:rsid w:val="000A6A5A"/>
    <w:rsid w:val="000B1B04"/>
    <w:rsid w:val="000B5758"/>
    <w:rsid w:val="000C211F"/>
    <w:rsid w:val="000C3FFB"/>
    <w:rsid w:val="000C5349"/>
    <w:rsid w:val="000C704F"/>
    <w:rsid w:val="000D1BEF"/>
    <w:rsid w:val="000E221E"/>
    <w:rsid w:val="000E5A14"/>
    <w:rsid w:val="000E7C91"/>
    <w:rsid w:val="000F2DDD"/>
    <w:rsid w:val="00103D12"/>
    <w:rsid w:val="001044EF"/>
    <w:rsid w:val="00107793"/>
    <w:rsid w:val="00107F74"/>
    <w:rsid w:val="00115667"/>
    <w:rsid w:val="00141FB3"/>
    <w:rsid w:val="00143640"/>
    <w:rsid w:val="00146622"/>
    <w:rsid w:val="00151976"/>
    <w:rsid w:val="00151DB8"/>
    <w:rsid w:val="00151E56"/>
    <w:rsid w:val="001574DB"/>
    <w:rsid w:val="001616F8"/>
    <w:rsid w:val="001639E6"/>
    <w:rsid w:val="0016548E"/>
    <w:rsid w:val="00167781"/>
    <w:rsid w:val="0017420B"/>
    <w:rsid w:val="0019552B"/>
    <w:rsid w:val="001A1316"/>
    <w:rsid w:val="001A58F7"/>
    <w:rsid w:val="001B47FB"/>
    <w:rsid w:val="001C525C"/>
    <w:rsid w:val="001E4814"/>
    <w:rsid w:val="001F43D8"/>
    <w:rsid w:val="001F69BB"/>
    <w:rsid w:val="0020344E"/>
    <w:rsid w:val="002114E1"/>
    <w:rsid w:val="00217977"/>
    <w:rsid w:val="00222775"/>
    <w:rsid w:val="00223D56"/>
    <w:rsid w:val="00225E9E"/>
    <w:rsid w:val="002319C9"/>
    <w:rsid w:val="00235DDA"/>
    <w:rsid w:val="002456BF"/>
    <w:rsid w:val="00252DD7"/>
    <w:rsid w:val="002568D5"/>
    <w:rsid w:val="0026664B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5E07"/>
    <w:rsid w:val="004178F1"/>
    <w:rsid w:val="00421C5C"/>
    <w:rsid w:val="00424A5A"/>
    <w:rsid w:val="0044324E"/>
    <w:rsid w:val="00452C1F"/>
    <w:rsid w:val="00462D69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B0888"/>
    <w:rsid w:val="004C0EED"/>
    <w:rsid w:val="004C1F92"/>
    <w:rsid w:val="004C3DEF"/>
    <w:rsid w:val="004D2A21"/>
    <w:rsid w:val="004E5901"/>
    <w:rsid w:val="004E7F96"/>
    <w:rsid w:val="004F1D8F"/>
    <w:rsid w:val="004F304B"/>
    <w:rsid w:val="0050463F"/>
    <w:rsid w:val="00513E0C"/>
    <w:rsid w:val="00531F24"/>
    <w:rsid w:val="00534FC8"/>
    <w:rsid w:val="005442FD"/>
    <w:rsid w:val="00547CCA"/>
    <w:rsid w:val="0055334A"/>
    <w:rsid w:val="0056218D"/>
    <w:rsid w:val="00563DE0"/>
    <w:rsid w:val="00564E57"/>
    <w:rsid w:val="005717FD"/>
    <w:rsid w:val="00577762"/>
    <w:rsid w:val="00585D27"/>
    <w:rsid w:val="0058731A"/>
    <w:rsid w:val="00587691"/>
    <w:rsid w:val="0059010F"/>
    <w:rsid w:val="0059248B"/>
    <w:rsid w:val="005B0F7B"/>
    <w:rsid w:val="005B3956"/>
    <w:rsid w:val="005B5E4D"/>
    <w:rsid w:val="005C0A1F"/>
    <w:rsid w:val="005C3C59"/>
    <w:rsid w:val="005D0C85"/>
    <w:rsid w:val="005D5F3F"/>
    <w:rsid w:val="005E0436"/>
    <w:rsid w:val="005E595A"/>
    <w:rsid w:val="005E5D2D"/>
    <w:rsid w:val="005E642E"/>
    <w:rsid w:val="005F3D28"/>
    <w:rsid w:val="005F52AE"/>
    <w:rsid w:val="005F6E16"/>
    <w:rsid w:val="00602A30"/>
    <w:rsid w:val="006054BF"/>
    <w:rsid w:val="00606314"/>
    <w:rsid w:val="00617301"/>
    <w:rsid w:val="0063284A"/>
    <w:rsid w:val="00646289"/>
    <w:rsid w:val="00646C58"/>
    <w:rsid w:val="0065320E"/>
    <w:rsid w:val="00664752"/>
    <w:rsid w:val="00664FC9"/>
    <w:rsid w:val="00673ABE"/>
    <w:rsid w:val="006777CE"/>
    <w:rsid w:val="006934E1"/>
    <w:rsid w:val="00694200"/>
    <w:rsid w:val="0069616E"/>
    <w:rsid w:val="006A0604"/>
    <w:rsid w:val="006A7042"/>
    <w:rsid w:val="006A7123"/>
    <w:rsid w:val="006A71BC"/>
    <w:rsid w:val="006B0F4B"/>
    <w:rsid w:val="006D456D"/>
    <w:rsid w:val="006D6170"/>
    <w:rsid w:val="006D7313"/>
    <w:rsid w:val="006E5C14"/>
    <w:rsid w:val="006F408B"/>
    <w:rsid w:val="00703777"/>
    <w:rsid w:val="00704BD7"/>
    <w:rsid w:val="00707437"/>
    <w:rsid w:val="00712D13"/>
    <w:rsid w:val="00716804"/>
    <w:rsid w:val="00721A2C"/>
    <w:rsid w:val="00737A20"/>
    <w:rsid w:val="0074381E"/>
    <w:rsid w:val="00747913"/>
    <w:rsid w:val="00754417"/>
    <w:rsid w:val="00774B41"/>
    <w:rsid w:val="00787215"/>
    <w:rsid w:val="00795DC2"/>
    <w:rsid w:val="007A71D6"/>
    <w:rsid w:val="007B750A"/>
    <w:rsid w:val="007C0CD1"/>
    <w:rsid w:val="007C20C6"/>
    <w:rsid w:val="007C220B"/>
    <w:rsid w:val="007C257B"/>
    <w:rsid w:val="007C4FF4"/>
    <w:rsid w:val="007E0D5B"/>
    <w:rsid w:val="007E2276"/>
    <w:rsid w:val="007E418A"/>
    <w:rsid w:val="007F218B"/>
    <w:rsid w:val="00810D0C"/>
    <w:rsid w:val="00821776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95DA6"/>
    <w:rsid w:val="008A2192"/>
    <w:rsid w:val="008A584F"/>
    <w:rsid w:val="008B0BE1"/>
    <w:rsid w:val="008C6A37"/>
    <w:rsid w:val="008D0B65"/>
    <w:rsid w:val="008D7A7F"/>
    <w:rsid w:val="008E4B67"/>
    <w:rsid w:val="008F0A65"/>
    <w:rsid w:val="008F2622"/>
    <w:rsid w:val="008F7F2F"/>
    <w:rsid w:val="00904239"/>
    <w:rsid w:val="0090543A"/>
    <w:rsid w:val="00912DED"/>
    <w:rsid w:val="009224E2"/>
    <w:rsid w:val="00922C71"/>
    <w:rsid w:val="00926533"/>
    <w:rsid w:val="00931ADF"/>
    <w:rsid w:val="009339F5"/>
    <w:rsid w:val="00933DD8"/>
    <w:rsid w:val="00934F3E"/>
    <w:rsid w:val="00937D77"/>
    <w:rsid w:val="00946BC0"/>
    <w:rsid w:val="00962587"/>
    <w:rsid w:val="009822BE"/>
    <w:rsid w:val="00990C9A"/>
    <w:rsid w:val="00991992"/>
    <w:rsid w:val="009970B7"/>
    <w:rsid w:val="009A08A7"/>
    <w:rsid w:val="009A3307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2A0D"/>
    <w:rsid w:val="009E6A2C"/>
    <w:rsid w:val="009F0927"/>
    <w:rsid w:val="009F773B"/>
    <w:rsid w:val="00A01A53"/>
    <w:rsid w:val="00A020B8"/>
    <w:rsid w:val="00A1342C"/>
    <w:rsid w:val="00A155CC"/>
    <w:rsid w:val="00A169EE"/>
    <w:rsid w:val="00A25266"/>
    <w:rsid w:val="00A325D0"/>
    <w:rsid w:val="00A37FB3"/>
    <w:rsid w:val="00A410A3"/>
    <w:rsid w:val="00A43941"/>
    <w:rsid w:val="00A47F4B"/>
    <w:rsid w:val="00A50357"/>
    <w:rsid w:val="00A52A4D"/>
    <w:rsid w:val="00A54C43"/>
    <w:rsid w:val="00A54C55"/>
    <w:rsid w:val="00A54DBE"/>
    <w:rsid w:val="00A62D36"/>
    <w:rsid w:val="00A64852"/>
    <w:rsid w:val="00A74096"/>
    <w:rsid w:val="00A8081F"/>
    <w:rsid w:val="00A8708A"/>
    <w:rsid w:val="00A918A4"/>
    <w:rsid w:val="00A91C28"/>
    <w:rsid w:val="00A92155"/>
    <w:rsid w:val="00A96D04"/>
    <w:rsid w:val="00AB093E"/>
    <w:rsid w:val="00AB4CBC"/>
    <w:rsid w:val="00AB791A"/>
    <w:rsid w:val="00AC0500"/>
    <w:rsid w:val="00AC4DF4"/>
    <w:rsid w:val="00AD3AA5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2697E"/>
    <w:rsid w:val="00B370F4"/>
    <w:rsid w:val="00B4348E"/>
    <w:rsid w:val="00B45D35"/>
    <w:rsid w:val="00B47C04"/>
    <w:rsid w:val="00B53EC1"/>
    <w:rsid w:val="00B64EB1"/>
    <w:rsid w:val="00B66815"/>
    <w:rsid w:val="00B66FA2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04BEF"/>
    <w:rsid w:val="00C1455B"/>
    <w:rsid w:val="00C148BB"/>
    <w:rsid w:val="00C149C4"/>
    <w:rsid w:val="00C16C23"/>
    <w:rsid w:val="00C17C17"/>
    <w:rsid w:val="00C24562"/>
    <w:rsid w:val="00C378B1"/>
    <w:rsid w:val="00C435D4"/>
    <w:rsid w:val="00C50520"/>
    <w:rsid w:val="00C529D3"/>
    <w:rsid w:val="00C617EC"/>
    <w:rsid w:val="00C63085"/>
    <w:rsid w:val="00C64338"/>
    <w:rsid w:val="00C64EC0"/>
    <w:rsid w:val="00C70269"/>
    <w:rsid w:val="00C77359"/>
    <w:rsid w:val="00C77971"/>
    <w:rsid w:val="00C8411D"/>
    <w:rsid w:val="00C84F06"/>
    <w:rsid w:val="00C96C5A"/>
    <w:rsid w:val="00CA1B19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D055B0"/>
    <w:rsid w:val="00D07F2D"/>
    <w:rsid w:val="00D13688"/>
    <w:rsid w:val="00D14C1F"/>
    <w:rsid w:val="00D15FA8"/>
    <w:rsid w:val="00D23791"/>
    <w:rsid w:val="00D23D4D"/>
    <w:rsid w:val="00D27938"/>
    <w:rsid w:val="00D27B83"/>
    <w:rsid w:val="00D51CC5"/>
    <w:rsid w:val="00D55851"/>
    <w:rsid w:val="00D574FF"/>
    <w:rsid w:val="00D608C7"/>
    <w:rsid w:val="00D6212B"/>
    <w:rsid w:val="00D710A8"/>
    <w:rsid w:val="00D710BD"/>
    <w:rsid w:val="00D8056F"/>
    <w:rsid w:val="00D877BB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2103"/>
    <w:rsid w:val="00DF4EF1"/>
    <w:rsid w:val="00DF6570"/>
    <w:rsid w:val="00E01833"/>
    <w:rsid w:val="00E27103"/>
    <w:rsid w:val="00E37F65"/>
    <w:rsid w:val="00E51564"/>
    <w:rsid w:val="00E62551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A7E75"/>
    <w:rsid w:val="00EB06BE"/>
    <w:rsid w:val="00EB6AAF"/>
    <w:rsid w:val="00EE270C"/>
    <w:rsid w:val="00EE59CA"/>
    <w:rsid w:val="00EE6BD8"/>
    <w:rsid w:val="00EE6DAC"/>
    <w:rsid w:val="00F11449"/>
    <w:rsid w:val="00F211C0"/>
    <w:rsid w:val="00F224AE"/>
    <w:rsid w:val="00F34920"/>
    <w:rsid w:val="00F5220F"/>
    <w:rsid w:val="00F54E60"/>
    <w:rsid w:val="00F5688C"/>
    <w:rsid w:val="00F619E7"/>
    <w:rsid w:val="00F67141"/>
    <w:rsid w:val="00F729CE"/>
    <w:rsid w:val="00F81314"/>
    <w:rsid w:val="00F86B2D"/>
    <w:rsid w:val="00F86C27"/>
    <w:rsid w:val="00F86DF0"/>
    <w:rsid w:val="00F943D8"/>
    <w:rsid w:val="00FB4035"/>
    <w:rsid w:val="00FC57FA"/>
    <w:rsid w:val="00FD5E04"/>
    <w:rsid w:val="00FE3D89"/>
    <w:rsid w:val="00FE7BA7"/>
    <w:rsid w:val="00FF1C3D"/>
    <w:rsid w:val="0CA4351B"/>
    <w:rsid w:val="0D555933"/>
    <w:rsid w:val="18EC1F7A"/>
    <w:rsid w:val="1D681DEC"/>
    <w:rsid w:val="1D7F361D"/>
    <w:rsid w:val="268758BC"/>
    <w:rsid w:val="299A6FF3"/>
    <w:rsid w:val="2B5F517B"/>
    <w:rsid w:val="3557428F"/>
    <w:rsid w:val="36B4EBB8"/>
    <w:rsid w:val="37FCFBDD"/>
    <w:rsid w:val="38DF0F19"/>
    <w:rsid w:val="3D407E3C"/>
    <w:rsid w:val="3E347DEF"/>
    <w:rsid w:val="3FCB28EB"/>
    <w:rsid w:val="404A467A"/>
    <w:rsid w:val="40956B0D"/>
    <w:rsid w:val="466D5EC4"/>
    <w:rsid w:val="47FDCDF3"/>
    <w:rsid w:val="4ADF5380"/>
    <w:rsid w:val="4E1E02D7"/>
    <w:rsid w:val="4F204931"/>
    <w:rsid w:val="5A3E05F0"/>
    <w:rsid w:val="5CFD22CD"/>
    <w:rsid w:val="5D5A6C44"/>
    <w:rsid w:val="5FF9333B"/>
    <w:rsid w:val="68940B68"/>
    <w:rsid w:val="693A5856"/>
    <w:rsid w:val="6A2D5246"/>
    <w:rsid w:val="6FAC5075"/>
    <w:rsid w:val="6FBC55A3"/>
    <w:rsid w:val="73A82400"/>
    <w:rsid w:val="748F20DD"/>
    <w:rsid w:val="77A77E82"/>
    <w:rsid w:val="77BE736E"/>
    <w:rsid w:val="79DC2A25"/>
    <w:rsid w:val="7BCD75C6"/>
    <w:rsid w:val="7ECE503D"/>
    <w:rsid w:val="7FD885B6"/>
    <w:rsid w:val="7FFF4223"/>
    <w:rsid w:val="8FEE0B1E"/>
    <w:rsid w:val="967FA9D3"/>
    <w:rsid w:val="BF3DF5C0"/>
    <w:rsid w:val="BFFF9C3A"/>
    <w:rsid w:val="CFDE2680"/>
    <w:rsid w:val="CFFCFB17"/>
    <w:rsid w:val="DB7BA227"/>
    <w:rsid w:val="DBB70F96"/>
    <w:rsid w:val="DCFCB04A"/>
    <w:rsid w:val="DEFFAB64"/>
    <w:rsid w:val="DF3AD55D"/>
    <w:rsid w:val="DFFF1E19"/>
    <w:rsid w:val="E7EB370F"/>
    <w:rsid w:val="EF558545"/>
    <w:rsid w:val="F0FEB611"/>
    <w:rsid w:val="F3E7BB80"/>
    <w:rsid w:val="F51C3534"/>
    <w:rsid w:val="FA5E3F2D"/>
    <w:rsid w:val="FDE5242F"/>
    <w:rsid w:val="FF7F20EE"/>
    <w:rsid w:val="FF9DC738"/>
    <w:rsid w:val="FFDFB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sz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0"/>
    <w:pPr>
      <w:ind w:firstLine="420" w:firstLineChars="200"/>
    </w:p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Balloon Text"/>
    <w:basedOn w:val="1"/>
    <w:link w:val="15"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2">
    <w:name w:val="page number"/>
    <w:uiPriority w:val="0"/>
  </w:style>
  <w:style w:type="character" w:customStyle="1" w:styleId="13">
    <w:name w:val="标题 1 Char"/>
    <w:link w:val="3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标题 2 Char"/>
    <w:link w:val="4"/>
    <w:uiPriority w:val="9"/>
    <w:rPr>
      <w:rFonts w:ascii="Cambria" w:hAnsi="Cambria"/>
      <w:b/>
      <w:bCs/>
      <w:sz w:val="32"/>
      <w:szCs w:val="32"/>
    </w:rPr>
  </w:style>
  <w:style w:type="character" w:customStyle="1" w:styleId="15">
    <w:name w:val="批注框文本 Char"/>
    <w:link w:val="6"/>
    <w:uiPriority w:val="0"/>
    <w:rPr>
      <w:sz w:val="18"/>
      <w:szCs w:val="18"/>
    </w:rPr>
  </w:style>
  <w:style w:type="character" w:customStyle="1" w:styleId="16">
    <w:name w:val="页脚 Char"/>
    <w:link w:val="7"/>
    <w:uiPriority w:val="99"/>
    <w:rPr>
      <w:sz w:val="18"/>
      <w:szCs w:val="18"/>
    </w:rPr>
  </w:style>
  <w:style w:type="paragraph" w:customStyle="1" w:styleId="17">
    <w:name w:val="Char Char"/>
    <w:basedOn w:val="5"/>
    <w:uiPriority w:val="0"/>
    <w:pPr>
      <w:adjustRightInd/>
      <w:spacing w:line="240" w:lineRule="auto"/>
      <w:jc w:val="both"/>
      <w:textAlignment w:val="auto"/>
    </w:pPr>
  </w:style>
  <w:style w:type="paragraph" w:styleId="18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3863</Words>
  <Characters>4332</Characters>
  <Lines>33</Lines>
  <Paragraphs>9</Paragraphs>
  <TotalTime>0</TotalTime>
  <ScaleCrop>false</ScaleCrop>
  <LinksUpToDate>false</LinksUpToDate>
  <CharactersWithSpaces>4545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2026-02-12T04:06:00Z</dcterms:created>
  <dc:creator>朱春礼</dc:creator>
  <cp:lastModifiedBy>user</cp:lastModifiedBy>
  <cp:lastPrinted>2026-02-12T02:22:00Z</cp:lastPrinted>
  <dcterms:modified xsi:type="dcterms:W3CDTF">2026-02-12T03:57:53Z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CBEFB41878794F5E96ED06FB28BD3741</vt:lpwstr>
  </property>
  <property fmtid="{D5CDD505-2E9C-101B-9397-08002B2CF9AE}" pid="4" name="KSOTemplateDocerSaveRecord">
    <vt:lpwstr>eyJoZGlkIjoiMjM0YWQzN2Q2OWUxZjA0ZmU2M2U3NGY3NWQ4Mzg4YzYiLCJ1c2VySWQiOiIyODM4MTUxNDQifQ==</vt:lpwstr>
  </property>
</Properties>
</file>