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A2FC99">
      <w:pPr>
        <w:keepNext w:val="0"/>
        <w:keepLines w:val="0"/>
        <w:pageBreakBefore w:val="0"/>
        <w:kinsoku/>
        <w:wordWrap/>
        <w:overflowPunct/>
        <w:topLinePunct w:val="0"/>
        <w:autoSpaceDE/>
        <w:autoSpaceDN/>
        <w:bidi w:val="0"/>
        <w:snapToGrid w:val="0"/>
        <w:spacing w:line="600" w:lineRule="exact"/>
        <w:ind w:left="0" w:leftChars="0"/>
        <w:jc w:val="center"/>
        <w:rPr>
          <w:rFonts w:ascii="宋体" w:hAnsi="宋体"/>
          <w:w w:val="95"/>
          <w:sz w:val="32"/>
          <w:szCs w:val="32"/>
        </w:rPr>
      </w:pPr>
    </w:p>
    <w:p w14:paraId="1B37932A">
      <w:pPr>
        <w:keepNext w:val="0"/>
        <w:keepLines w:val="0"/>
        <w:pageBreakBefore w:val="0"/>
        <w:kinsoku/>
        <w:wordWrap/>
        <w:overflowPunct/>
        <w:topLinePunct w:val="0"/>
        <w:autoSpaceDE/>
        <w:autoSpaceDN/>
        <w:bidi w:val="0"/>
        <w:snapToGrid w:val="0"/>
        <w:spacing w:line="600" w:lineRule="exact"/>
        <w:ind w:left="0" w:leftChars="0"/>
        <w:jc w:val="center"/>
        <w:rPr>
          <w:rFonts w:ascii="宋体" w:hAnsi="宋体"/>
          <w:w w:val="95"/>
          <w:sz w:val="32"/>
          <w:szCs w:val="32"/>
        </w:rPr>
      </w:pPr>
    </w:p>
    <w:p w14:paraId="66B6C07B">
      <w:pPr>
        <w:keepNext w:val="0"/>
        <w:keepLines w:val="0"/>
        <w:pageBreakBefore w:val="0"/>
        <w:kinsoku/>
        <w:wordWrap/>
        <w:overflowPunct/>
        <w:topLinePunct w:val="0"/>
        <w:autoSpaceDE/>
        <w:autoSpaceDN/>
        <w:bidi w:val="0"/>
        <w:snapToGrid w:val="0"/>
        <w:spacing w:line="600" w:lineRule="exact"/>
        <w:ind w:left="0" w:leftChars="0"/>
        <w:jc w:val="center"/>
        <w:rPr>
          <w:rFonts w:ascii="宋体" w:hAnsi="宋体"/>
          <w:w w:val="95"/>
          <w:sz w:val="32"/>
          <w:szCs w:val="32"/>
        </w:rPr>
      </w:pPr>
    </w:p>
    <w:p w14:paraId="438E03B1">
      <w:pPr>
        <w:keepNext w:val="0"/>
        <w:keepLines w:val="0"/>
        <w:pageBreakBefore w:val="0"/>
        <w:kinsoku/>
        <w:wordWrap/>
        <w:overflowPunct/>
        <w:topLinePunct w:val="0"/>
        <w:autoSpaceDE/>
        <w:autoSpaceDN/>
        <w:bidi w:val="0"/>
        <w:snapToGrid w:val="0"/>
        <w:spacing w:line="600" w:lineRule="exact"/>
        <w:ind w:left="0" w:leftChars="0"/>
        <w:jc w:val="center"/>
        <w:rPr>
          <w:rFonts w:ascii="宋体" w:hAnsi="宋体"/>
          <w:w w:val="95"/>
          <w:sz w:val="32"/>
          <w:szCs w:val="32"/>
        </w:rPr>
      </w:pPr>
    </w:p>
    <w:p w14:paraId="5F3A776B">
      <w:pPr>
        <w:keepNext w:val="0"/>
        <w:keepLines w:val="0"/>
        <w:pageBreakBefore w:val="0"/>
        <w:kinsoku/>
        <w:wordWrap/>
        <w:overflowPunct/>
        <w:topLinePunct w:val="0"/>
        <w:autoSpaceDE/>
        <w:autoSpaceDN/>
        <w:bidi w:val="0"/>
        <w:snapToGrid w:val="0"/>
        <w:spacing w:line="600" w:lineRule="exact"/>
        <w:ind w:left="0" w:leftChars="0"/>
        <w:jc w:val="center"/>
        <w:rPr>
          <w:rFonts w:ascii="宋体" w:hAnsi="宋体"/>
          <w:w w:val="95"/>
          <w:sz w:val="32"/>
          <w:szCs w:val="32"/>
        </w:rPr>
      </w:pPr>
    </w:p>
    <w:p w14:paraId="364E1425">
      <w:pPr>
        <w:keepNext w:val="0"/>
        <w:keepLines w:val="0"/>
        <w:pageBreakBefore w:val="0"/>
        <w:kinsoku/>
        <w:wordWrap/>
        <w:overflowPunct/>
        <w:topLinePunct w:val="0"/>
        <w:autoSpaceDE/>
        <w:autoSpaceDN/>
        <w:bidi w:val="0"/>
        <w:snapToGrid w:val="0"/>
        <w:spacing w:line="600" w:lineRule="exact"/>
        <w:ind w:left="0" w:leftChars="0"/>
        <w:jc w:val="center"/>
        <w:rPr>
          <w:rFonts w:ascii="宋体" w:hAnsi="宋体"/>
          <w:w w:val="95"/>
          <w:sz w:val="32"/>
          <w:szCs w:val="32"/>
        </w:rPr>
      </w:pPr>
    </w:p>
    <w:p w14:paraId="42FFD164">
      <w:pPr>
        <w:keepNext w:val="0"/>
        <w:keepLines w:val="0"/>
        <w:pageBreakBefore w:val="0"/>
        <w:kinsoku/>
        <w:wordWrap/>
        <w:overflowPunct/>
        <w:topLinePunct w:val="0"/>
        <w:autoSpaceDE/>
        <w:autoSpaceDN/>
        <w:bidi w:val="0"/>
        <w:snapToGrid w:val="0"/>
        <w:spacing w:line="600" w:lineRule="exact"/>
        <w:ind w:left="0" w:leftChars="0"/>
        <w:jc w:val="center"/>
        <w:rPr>
          <w:rFonts w:ascii="宋体" w:hAnsi="宋体"/>
          <w:w w:val="95"/>
          <w:sz w:val="32"/>
          <w:szCs w:val="32"/>
        </w:rPr>
      </w:pPr>
    </w:p>
    <w:p w14:paraId="60DBE938">
      <w:pPr>
        <w:keepNext w:val="0"/>
        <w:keepLines w:val="0"/>
        <w:pageBreakBefore w:val="0"/>
        <w:kinsoku/>
        <w:wordWrap/>
        <w:overflowPunct/>
        <w:topLinePunct w:val="0"/>
        <w:autoSpaceDE/>
        <w:autoSpaceDN/>
        <w:bidi w:val="0"/>
        <w:snapToGrid w:val="0"/>
        <w:spacing w:line="600" w:lineRule="exact"/>
        <w:ind w:left="0" w:leftChars="0"/>
        <w:jc w:val="center"/>
        <w:rPr>
          <w:rFonts w:ascii="宋体" w:hAnsi="宋体"/>
          <w:w w:val="95"/>
          <w:sz w:val="32"/>
          <w:szCs w:val="32"/>
        </w:rPr>
      </w:pPr>
    </w:p>
    <w:p w14:paraId="63236901">
      <w:pPr>
        <w:keepNext w:val="0"/>
        <w:keepLines w:val="0"/>
        <w:pageBreakBefore w:val="0"/>
        <w:kinsoku/>
        <w:wordWrap/>
        <w:overflowPunct/>
        <w:topLinePunct w:val="0"/>
        <w:autoSpaceDE/>
        <w:autoSpaceDN/>
        <w:bidi w:val="0"/>
        <w:snapToGrid w:val="0"/>
        <w:spacing w:line="600" w:lineRule="exact"/>
        <w:ind w:left="0" w:leftChars="0"/>
        <w:jc w:val="center"/>
        <w:rPr>
          <w:rFonts w:hint="eastAsia" w:ascii="仿宋_GB2312" w:hAnsi="仿宋_GB2312" w:eastAsia="仿宋_GB2312" w:cs="仿宋_GB2312"/>
          <w:color w:val="FF0000"/>
          <w:sz w:val="28"/>
          <w:szCs w:val="28"/>
        </w:rPr>
      </w:pPr>
      <w:r>
        <w:rPr>
          <w:rFonts w:hint="eastAsia" w:ascii="方正小标宋简体" w:hAnsi="方正小标宋简体" w:eastAsia="方正小标宋简体" w:cs="方正小标宋简体"/>
          <w:sz w:val="48"/>
          <w:szCs w:val="48"/>
        </w:rPr>
        <w:t>天津经济技术开发区发展和改革局（天津经济技术开发区统计局）202</w:t>
      </w:r>
      <w:r>
        <w:rPr>
          <w:rFonts w:hint="eastAsia" w:ascii="方正小标宋简体" w:hAnsi="方正小标宋简体" w:eastAsia="方正小标宋简体" w:cs="方正小标宋简体"/>
          <w:sz w:val="48"/>
          <w:szCs w:val="48"/>
          <w:lang w:val="en-US" w:eastAsia="zh-CN"/>
        </w:rPr>
        <w:t>6</w:t>
      </w:r>
      <w:r>
        <w:rPr>
          <w:rFonts w:hint="eastAsia" w:ascii="方正小标宋简体" w:hAnsi="方正小标宋简体" w:eastAsia="方正小标宋简体" w:cs="方正小标宋简体"/>
          <w:sz w:val="48"/>
          <w:szCs w:val="48"/>
        </w:rPr>
        <w:t>年部门预算</w:t>
      </w:r>
    </w:p>
    <w:p w14:paraId="66815E86">
      <w:pPr>
        <w:keepNext w:val="0"/>
        <w:keepLines w:val="0"/>
        <w:pageBreakBefore w:val="0"/>
        <w:kinsoku/>
        <w:wordWrap/>
        <w:overflowPunct/>
        <w:topLinePunct w:val="0"/>
        <w:autoSpaceDE/>
        <w:autoSpaceDN/>
        <w:bidi w:val="0"/>
        <w:snapToGrid w:val="0"/>
        <w:spacing w:line="600" w:lineRule="exact"/>
        <w:ind w:left="0" w:leftChars="0"/>
        <w:jc w:val="center"/>
        <w:rPr>
          <w:rFonts w:hint="eastAsia" w:ascii="仿宋_GB2312" w:hAnsi="仿宋_GB2312" w:eastAsia="仿宋_GB2312" w:cs="仿宋_GB2312"/>
          <w:color w:val="FF0000"/>
          <w:sz w:val="28"/>
          <w:szCs w:val="28"/>
        </w:rPr>
      </w:pPr>
    </w:p>
    <w:p w14:paraId="2C995260">
      <w:pPr>
        <w:keepNext w:val="0"/>
        <w:keepLines w:val="0"/>
        <w:pageBreakBefore w:val="0"/>
        <w:kinsoku/>
        <w:wordWrap/>
        <w:overflowPunct/>
        <w:topLinePunct w:val="0"/>
        <w:autoSpaceDE/>
        <w:autoSpaceDN/>
        <w:bidi w:val="0"/>
        <w:snapToGrid w:val="0"/>
        <w:spacing w:line="600" w:lineRule="exact"/>
        <w:ind w:left="0" w:leftChars="0"/>
        <w:jc w:val="center"/>
        <w:rPr>
          <w:rFonts w:hint="eastAsia" w:ascii="仿宋_GB2312" w:hAnsi="仿宋_GB2312" w:eastAsia="仿宋_GB2312" w:cs="仿宋_GB2312"/>
          <w:color w:val="FF0000"/>
          <w:sz w:val="28"/>
          <w:szCs w:val="28"/>
        </w:rPr>
      </w:pPr>
    </w:p>
    <w:p w14:paraId="034909A1">
      <w:pPr>
        <w:keepNext w:val="0"/>
        <w:keepLines w:val="0"/>
        <w:pageBreakBefore w:val="0"/>
        <w:kinsoku/>
        <w:wordWrap/>
        <w:overflowPunct/>
        <w:topLinePunct w:val="0"/>
        <w:autoSpaceDE/>
        <w:autoSpaceDN/>
        <w:bidi w:val="0"/>
        <w:snapToGrid w:val="0"/>
        <w:spacing w:line="600" w:lineRule="exact"/>
        <w:ind w:left="0" w:leftChars="0"/>
        <w:jc w:val="center"/>
        <w:rPr>
          <w:rFonts w:hint="eastAsia" w:ascii="仿宋_GB2312" w:hAnsi="仿宋_GB2312" w:eastAsia="仿宋_GB2312" w:cs="仿宋_GB2312"/>
          <w:color w:val="FF0000"/>
          <w:sz w:val="28"/>
          <w:szCs w:val="28"/>
        </w:rPr>
      </w:pPr>
    </w:p>
    <w:p w14:paraId="319F5AD1">
      <w:pPr>
        <w:keepNext w:val="0"/>
        <w:keepLines w:val="0"/>
        <w:pageBreakBefore w:val="0"/>
        <w:kinsoku/>
        <w:wordWrap/>
        <w:overflowPunct/>
        <w:topLinePunct w:val="0"/>
        <w:autoSpaceDE/>
        <w:autoSpaceDN/>
        <w:bidi w:val="0"/>
        <w:snapToGrid w:val="0"/>
        <w:spacing w:line="600" w:lineRule="exact"/>
        <w:ind w:left="0" w:leftChars="0"/>
        <w:jc w:val="center"/>
        <w:rPr>
          <w:rFonts w:hint="eastAsia" w:ascii="仿宋_GB2312" w:hAnsi="仿宋_GB2312" w:eastAsia="仿宋_GB2312" w:cs="仿宋_GB2312"/>
          <w:color w:val="FF0000"/>
          <w:sz w:val="28"/>
          <w:szCs w:val="28"/>
        </w:rPr>
      </w:pPr>
    </w:p>
    <w:p w14:paraId="2F7D4769">
      <w:pPr>
        <w:keepNext w:val="0"/>
        <w:keepLines w:val="0"/>
        <w:pageBreakBefore w:val="0"/>
        <w:kinsoku/>
        <w:wordWrap/>
        <w:overflowPunct/>
        <w:topLinePunct w:val="0"/>
        <w:autoSpaceDE/>
        <w:autoSpaceDN/>
        <w:bidi w:val="0"/>
        <w:snapToGrid w:val="0"/>
        <w:spacing w:line="600" w:lineRule="exact"/>
        <w:ind w:left="0" w:leftChars="0"/>
        <w:jc w:val="center"/>
        <w:rPr>
          <w:rFonts w:hint="eastAsia" w:ascii="仿宋_GB2312" w:hAnsi="仿宋_GB2312" w:eastAsia="仿宋_GB2312" w:cs="仿宋_GB2312"/>
          <w:color w:val="FF0000"/>
          <w:sz w:val="28"/>
          <w:szCs w:val="28"/>
        </w:rPr>
      </w:pPr>
    </w:p>
    <w:p w14:paraId="3B1B56EE">
      <w:pPr>
        <w:keepNext w:val="0"/>
        <w:keepLines w:val="0"/>
        <w:pageBreakBefore w:val="0"/>
        <w:kinsoku/>
        <w:wordWrap/>
        <w:overflowPunct/>
        <w:topLinePunct w:val="0"/>
        <w:autoSpaceDE/>
        <w:autoSpaceDN/>
        <w:bidi w:val="0"/>
        <w:snapToGrid w:val="0"/>
        <w:spacing w:line="600" w:lineRule="exact"/>
        <w:ind w:left="0" w:leftChars="0"/>
        <w:jc w:val="center"/>
        <w:rPr>
          <w:rFonts w:hint="eastAsia" w:ascii="仿宋_GB2312" w:hAnsi="仿宋_GB2312" w:eastAsia="仿宋_GB2312" w:cs="仿宋_GB2312"/>
          <w:color w:val="FF0000"/>
          <w:sz w:val="28"/>
          <w:szCs w:val="28"/>
        </w:rPr>
      </w:pPr>
    </w:p>
    <w:p w14:paraId="287E9330">
      <w:pPr>
        <w:keepNext w:val="0"/>
        <w:keepLines w:val="0"/>
        <w:pageBreakBefore w:val="0"/>
        <w:kinsoku/>
        <w:wordWrap/>
        <w:overflowPunct/>
        <w:topLinePunct w:val="0"/>
        <w:autoSpaceDE/>
        <w:autoSpaceDN/>
        <w:bidi w:val="0"/>
        <w:snapToGrid w:val="0"/>
        <w:spacing w:line="600" w:lineRule="exact"/>
        <w:ind w:left="0" w:leftChars="0"/>
        <w:jc w:val="center"/>
        <w:rPr>
          <w:rFonts w:hint="eastAsia" w:ascii="仿宋_GB2312" w:hAnsi="仿宋_GB2312" w:eastAsia="仿宋_GB2312" w:cs="仿宋_GB2312"/>
          <w:color w:val="FF0000"/>
          <w:sz w:val="28"/>
          <w:szCs w:val="28"/>
        </w:rPr>
      </w:pPr>
    </w:p>
    <w:p w14:paraId="1EE172D6">
      <w:pPr>
        <w:keepNext w:val="0"/>
        <w:keepLines w:val="0"/>
        <w:pageBreakBefore w:val="0"/>
        <w:kinsoku/>
        <w:wordWrap/>
        <w:overflowPunct/>
        <w:topLinePunct w:val="0"/>
        <w:autoSpaceDE/>
        <w:autoSpaceDN/>
        <w:bidi w:val="0"/>
        <w:snapToGrid w:val="0"/>
        <w:spacing w:line="600" w:lineRule="exact"/>
        <w:ind w:left="0" w:leftChars="0"/>
        <w:jc w:val="center"/>
        <w:rPr>
          <w:rFonts w:hint="eastAsia" w:ascii="宋体" w:hAnsi="宋体"/>
          <w:sz w:val="32"/>
          <w:szCs w:val="32"/>
        </w:rPr>
      </w:pPr>
    </w:p>
    <w:p w14:paraId="66E89245">
      <w:pPr>
        <w:keepNext w:val="0"/>
        <w:keepLines w:val="0"/>
        <w:pageBreakBefore w:val="0"/>
        <w:kinsoku/>
        <w:wordWrap/>
        <w:overflowPunct/>
        <w:topLinePunct w:val="0"/>
        <w:autoSpaceDE/>
        <w:autoSpaceDN/>
        <w:bidi w:val="0"/>
        <w:snapToGrid w:val="0"/>
        <w:spacing w:line="600" w:lineRule="exact"/>
        <w:ind w:left="0" w:leftChars="0"/>
        <w:jc w:val="center"/>
        <w:rPr>
          <w:rFonts w:hint="eastAsia" w:ascii="宋体" w:hAnsi="宋体"/>
          <w:sz w:val="32"/>
          <w:szCs w:val="32"/>
        </w:rPr>
      </w:pPr>
    </w:p>
    <w:p w14:paraId="204EAE70">
      <w:pPr>
        <w:keepNext w:val="0"/>
        <w:keepLines w:val="0"/>
        <w:pageBreakBefore w:val="0"/>
        <w:kinsoku/>
        <w:wordWrap/>
        <w:overflowPunct/>
        <w:topLinePunct w:val="0"/>
        <w:autoSpaceDE/>
        <w:autoSpaceDN/>
        <w:bidi w:val="0"/>
        <w:snapToGrid w:val="0"/>
        <w:spacing w:line="600" w:lineRule="exact"/>
        <w:ind w:left="0" w:leftChars="0"/>
        <w:jc w:val="center"/>
        <w:rPr>
          <w:rFonts w:hint="eastAsia" w:ascii="宋体" w:hAnsi="宋体"/>
          <w:sz w:val="32"/>
          <w:szCs w:val="32"/>
        </w:rPr>
      </w:pPr>
    </w:p>
    <w:p w14:paraId="209E65B8">
      <w:pPr>
        <w:keepNext w:val="0"/>
        <w:keepLines w:val="0"/>
        <w:pageBreakBefore w:val="0"/>
        <w:kinsoku/>
        <w:wordWrap/>
        <w:overflowPunct/>
        <w:topLinePunct w:val="0"/>
        <w:autoSpaceDE/>
        <w:autoSpaceDN/>
        <w:bidi w:val="0"/>
        <w:snapToGrid w:val="0"/>
        <w:spacing w:line="600" w:lineRule="exact"/>
        <w:ind w:left="0" w:leftChars="0"/>
        <w:jc w:val="center"/>
        <w:rPr>
          <w:rFonts w:hint="eastAsia" w:ascii="宋体" w:hAnsi="宋体"/>
          <w:sz w:val="32"/>
          <w:szCs w:val="32"/>
        </w:rPr>
      </w:pPr>
    </w:p>
    <w:p w14:paraId="33714AA8">
      <w:pPr>
        <w:keepNext w:val="0"/>
        <w:keepLines w:val="0"/>
        <w:pageBreakBefore w:val="0"/>
        <w:kinsoku/>
        <w:wordWrap/>
        <w:overflowPunct/>
        <w:topLinePunct w:val="0"/>
        <w:autoSpaceDE/>
        <w:autoSpaceDN/>
        <w:bidi w:val="0"/>
        <w:snapToGrid w:val="0"/>
        <w:spacing w:line="600" w:lineRule="exact"/>
        <w:ind w:left="0" w:leftChars="0"/>
        <w:jc w:val="center"/>
        <w:rPr>
          <w:rFonts w:hint="eastAsia" w:ascii="宋体" w:hAnsi="宋体"/>
          <w:sz w:val="32"/>
          <w:szCs w:val="32"/>
        </w:rPr>
      </w:pPr>
    </w:p>
    <w:p w14:paraId="3686B7B0">
      <w:pPr>
        <w:keepNext w:val="0"/>
        <w:keepLines w:val="0"/>
        <w:pageBreakBefore w:val="0"/>
        <w:kinsoku/>
        <w:wordWrap/>
        <w:overflowPunct/>
        <w:topLinePunct w:val="0"/>
        <w:autoSpaceDE/>
        <w:autoSpaceDN/>
        <w:bidi w:val="0"/>
        <w:snapToGrid w:val="0"/>
        <w:spacing w:line="600" w:lineRule="exact"/>
        <w:ind w:left="0" w:leftChars="0"/>
        <w:jc w:val="center"/>
        <w:rPr>
          <w:rFonts w:hint="eastAsia" w:ascii="黑体" w:hAnsi="MS Serif" w:eastAsia="黑体" w:cs="Times New Roman"/>
          <w:sz w:val="44"/>
          <w:szCs w:val="44"/>
        </w:rPr>
      </w:pPr>
      <w:r>
        <w:rPr>
          <w:rFonts w:hint="eastAsia" w:ascii="黑体" w:hAnsi="MS Serif" w:eastAsia="黑体" w:cs="Times New Roman"/>
          <w:sz w:val="44"/>
          <w:szCs w:val="44"/>
        </w:rPr>
        <w:t>目   录</w:t>
      </w:r>
    </w:p>
    <w:p w14:paraId="79AD05E7">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z w:val="28"/>
          <w:szCs w:val="28"/>
        </w:rPr>
      </w:pPr>
    </w:p>
    <w:p w14:paraId="7D7E9328">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第一部分  概 况</w:t>
      </w:r>
    </w:p>
    <w:p w14:paraId="010C8FBA">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一、主要职责</w:t>
      </w:r>
    </w:p>
    <w:p w14:paraId="7A0DBD2C">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二、机构设置情况</w:t>
      </w:r>
    </w:p>
    <w:p w14:paraId="4ED93EBF">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第二部分  </w:t>
      </w:r>
      <w:r>
        <w:rPr>
          <w:rFonts w:hint="eastAsia" w:ascii="仿宋_GB2312" w:hAnsi="仿宋_GB2312" w:eastAsia="仿宋_GB2312" w:cs="仿宋_GB2312"/>
          <w:b/>
          <w:sz w:val="32"/>
          <w:szCs w:val="32"/>
          <w:lang w:eastAsia="zh-CN"/>
        </w:rPr>
        <w:t>2026年</w:t>
      </w:r>
      <w:r>
        <w:rPr>
          <w:rFonts w:hint="eastAsia" w:ascii="仿宋_GB2312" w:hAnsi="仿宋_GB2312" w:eastAsia="仿宋_GB2312" w:cs="仿宋_GB2312"/>
          <w:b/>
          <w:sz w:val="32"/>
          <w:szCs w:val="32"/>
        </w:rPr>
        <w:t>部门预算情况说明</w:t>
      </w:r>
    </w:p>
    <w:p w14:paraId="03194269">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一、关于</w:t>
      </w:r>
      <w:r>
        <w:rPr>
          <w:rFonts w:hint="eastAsia" w:ascii="仿宋_GB2312" w:hAnsi="仿宋_GB2312" w:eastAsia="仿宋_GB2312" w:cs="仿宋_GB2312"/>
          <w:spacing w:val="-20"/>
          <w:sz w:val="32"/>
          <w:szCs w:val="32"/>
          <w:lang w:eastAsia="zh-CN"/>
        </w:rPr>
        <w:t>2026年</w:t>
      </w:r>
      <w:r>
        <w:rPr>
          <w:rFonts w:hint="eastAsia" w:ascii="仿宋_GB2312" w:hAnsi="仿宋_GB2312" w:eastAsia="仿宋_GB2312" w:cs="仿宋_GB2312"/>
          <w:spacing w:val="-20"/>
          <w:sz w:val="32"/>
          <w:szCs w:val="32"/>
        </w:rPr>
        <w:t>收支预算总表的说明</w:t>
      </w:r>
    </w:p>
    <w:p w14:paraId="172D4F7A">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二、关于</w:t>
      </w:r>
      <w:r>
        <w:rPr>
          <w:rFonts w:hint="eastAsia" w:ascii="仿宋_GB2312" w:hAnsi="仿宋_GB2312" w:eastAsia="仿宋_GB2312" w:cs="仿宋_GB2312"/>
          <w:spacing w:val="-20"/>
          <w:sz w:val="32"/>
          <w:szCs w:val="32"/>
          <w:lang w:eastAsia="zh-CN"/>
        </w:rPr>
        <w:t>2026年</w:t>
      </w:r>
      <w:r>
        <w:rPr>
          <w:rFonts w:hint="eastAsia" w:ascii="仿宋_GB2312" w:hAnsi="仿宋_GB2312" w:eastAsia="仿宋_GB2312" w:cs="仿宋_GB2312"/>
          <w:spacing w:val="-20"/>
          <w:sz w:val="32"/>
          <w:szCs w:val="32"/>
        </w:rPr>
        <w:t>收入预算总表的说明</w:t>
      </w:r>
    </w:p>
    <w:p w14:paraId="4751376B">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三、关于</w:t>
      </w:r>
      <w:r>
        <w:rPr>
          <w:rFonts w:hint="eastAsia" w:ascii="仿宋_GB2312" w:hAnsi="仿宋_GB2312" w:eastAsia="仿宋_GB2312" w:cs="仿宋_GB2312"/>
          <w:spacing w:val="-20"/>
          <w:sz w:val="32"/>
          <w:szCs w:val="32"/>
          <w:lang w:eastAsia="zh-CN"/>
        </w:rPr>
        <w:t>2026年</w:t>
      </w:r>
      <w:r>
        <w:rPr>
          <w:rFonts w:hint="eastAsia" w:ascii="仿宋_GB2312" w:hAnsi="仿宋_GB2312" w:eastAsia="仿宋_GB2312" w:cs="仿宋_GB2312"/>
          <w:spacing w:val="-20"/>
          <w:sz w:val="32"/>
          <w:szCs w:val="32"/>
        </w:rPr>
        <w:t>支出预算总表的说明</w:t>
      </w:r>
    </w:p>
    <w:p w14:paraId="13F10484">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四、关于</w:t>
      </w:r>
      <w:r>
        <w:rPr>
          <w:rFonts w:hint="eastAsia" w:ascii="仿宋_GB2312" w:hAnsi="仿宋_GB2312" w:eastAsia="仿宋_GB2312" w:cs="仿宋_GB2312"/>
          <w:spacing w:val="-20"/>
          <w:sz w:val="32"/>
          <w:szCs w:val="32"/>
          <w:lang w:eastAsia="zh-CN"/>
        </w:rPr>
        <w:t>2026年</w:t>
      </w:r>
      <w:r>
        <w:rPr>
          <w:rFonts w:hint="eastAsia" w:ascii="仿宋_GB2312" w:hAnsi="仿宋_GB2312" w:eastAsia="仿宋_GB2312" w:cs="仿宋_GB2312"/>
          <w:spacing w:val="-20"/>
          <w:sz w:val="32"/>
          <w:szCs w:val="32"/>
        </w:rPr>
        <w:t>财政拨款收支预算总表的说明</w:t>
      </w:r>
    </w:p>
    <w:p w14:paraId="5B774BB3">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五、关于</w:t>
      </w:r>
      <w:r>
        <w:rPr>
          <w:rFonts w:hint="eastAsia" w:ascii="仿宋_GB2312" w:hAnsi="仿宋_GB2312" w:eastAsia="仿宋_GB2312" w:cs="仿宋_GB2312"/>
          <w:spacing w:val="-20"/>
          <w:sz w:val="32"/>
          <w:szCs w:val="32"/>
          <w:lang w:eastAsia="zh-CN"/>
        </w:rPr>
        <w:t>2026年</w:t>
      </w:r>
      <w:r>
        <w:rPr>
          <w:rFonts w:hint="eastAsia" w:ascii="仿宋_GB2312" w:hAnsi="仿宋_GB2312" w:eastAsia="仿宋_GB2312" w:cs="仿宋_GB2312"/>
          <w:spacing w:val="-20"/>
          <w:sz w:val="32"/>
          <w:szCs w:val="32"/>
        </w:rPr>
        <w:t>财政拨款一般公共预算支出预算表的说明</w:t>
      </w:r>
    </w:p>
    <w:p w14:paraId="61B26428">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六、关于</w:t>
      </w:r>
      <w:r>
        <w:rPr>
          <w:rFonts w:hint="eastAsia" w:ascii="仿宋_GB2312" w:hAnsi="仿宋_GB2312" w:eastAsia="仿宋_GB2312" w:cs="仿宋_GB2312"/>
          <w:spacing w:val="-20"/>
          <w:sz w:val="32"/>
          <w:szCs w:val="32"/>
          <w:lang w:eastAsia="zh-CN"/>
        </w:rPr>
        <w:t>2026年</w:t>
      </w:r>
      <w:r>
        <w:rPr>
          <w:rFonts w:hint="eastAsia" w:ascii="仿宋_GB2312" w:hAnsi="仿宋_GB2312" w:eastAsia="仿宋_GB2312" w:cs="仿宋_GB2312"/>
          <w:spacing w:val="-20"/>
          <w:sz w:val="32"/>
          <w:szCs w:val="32"/>
        </w:rPr>
        <w:t>财政拨款一般公共预算基本支出预算表的说明</w:t>
      </w:r>
    </w:p>
    <w:p w14:paraId="5BFBB22F">
      <w:pPr>
        <w:keepNext w:val="0"/>
        <w:keepLines w:val="0"/>
        <w:pageBreakBefore w:val="0"/>
        <w:kinsoku/>
        <w:wordWrap/>
        <w:overflowPunct/>
        <w:topLinePunct w:val="0"/>
        <w:autoSpaceDE/>
        <w:autoSpaceDN/>
        <w:bidi w:val="0"/>
        <w:adjustRightInd/>
        <w:snapToGrid w:val="0"/>
        <w:spacing w:line="600" w:lineRule="exact"/>
        <w:ind w:left="0" w:leftChars="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七、关于</w:t>
      </w:r>
      <w:r>
        <w:rPr>
          <w:rFonts w:hint="eastAsia" w:ascii="仿宋_GB2312" w:hAnsi="仿宋_GB2312" w:eastAsia="仿宋_GB2312" w:cs="仿宋_GB2312"/>
          <w:spacing w:val="-20"/>
          <w:sz w:val="32"/>
          <w:szCs w:val="32"/>
          <w:lang w:eastAsia="zh-CN"/>
        </w:rPr>
        <w:t>2026年</w:t>
      </w:r>
      <w:r>
        <w:rPr>
          <w:rFonts w:hint="eastAsia" w:ascii="仿宋_GB2312" w:hAnsi="仿宋_GB2312" w:eastAsia="仿宋_GB2312" w:cs="仿宋_GB2312"/>
          <w:spacing w:val="-20"/>
          <w:sz w:val="32"/>
          <w:szCs w:val="32"/>
        </w:rPr>
        <w:t>财政拨款一般公共预算“三公”经费支出</w:t>
      </w:r>
      <w:r>
        <w:rPr>
          <w:rFonts w:hint="eastAsia" w:ascii="仿宋_GB2312" w:hAnsi="仿宋_GB2312" w:eastAsia="仿宋_GB2312" w:cs="仿宋_GB2312"/>
          <w:spacing w:val="-20"/>
          <w:sz w:val="32"/>
          <w:szCs w:val="32"/>
          <w:lang w:eastAsia="zh-CN"/>
        </w:rPr>
        <w:t>预算表</w:t>
      </w:r>
      <w:r>
        <w:rPr>
          <w:rFonts w:hint="eastAsia" w:ascii="仿宋_GB2312" w:hAnsi="仿宋_GB2312" w:eastAsia="仿宋_GB2312" w:cs="仿宋_GB2312"/>
          <w:spacing w:val="-20"/>
          <w:sz w:val="32"/>
          <w:szCs w:val="32"/>
        </w:rPr>
        <w:t>的说明</w:t>
      </w:r>
    </w:p>
    <w:p w14:paraId="65B6B07F">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八、关于</w:t>
      </w:r>
      <w:r>
        <w:rPr>
          <w:rFonts w:hint="eastAsia" w:ascii="仿宋_GB2312" w:hAnsi="仿宋_GB2312" w:eastAsia="仿宋_GB2312" w:cs="仿宋_GB2312"/>
          <w:spacing w:val="-20"/>
          <w:sz w:val="32"/>
          <w:szCs w:val="32"/>
          <w:lang w:eastAsia="zh-CN"/>
        </w:rPr>
        <w:t>2026年</w:t>
      </w:r>
      <w:r>
        <w:rPr>
          <w:rFonts w:hint="eastAsia" w:ascii="仿宋_GB2312" w:hAnsi="仿宋_GB2312" w:eastAsia="仿宋_GB2312" w:cs="仿宋_GB2312"/>
          <w:spacing w:val="-20"/>
          <w:sz w:val="32"/>
          <w:szCs w:val="32"/>
        </w:rPr>
        <w:t>财政拨款政府性基金预算支出预算表的说明</w:t>
      </w:r>
    </w:p>
    <w:p w14:paraId="655FCFBF">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九、关于</w:t>
      </w:r>
      <w:r>
        <w:rPr>
          <w:rFonts w:hint="eastAsia" w:ascii="仿宋_GB2312" w:hAnsi="仿宋_GB2312" w:eastAsia="仿宋_GB2312" w:cs="仿宋_GB2312"/>
          <w:spacing w:val="-20"/>
          <w:sz w:val="32"/>
          <w:szCs w:val="32"/>
          <w:lang w:eastAsia="zh-CN"/>
        </w:rPr>
        <w:t>2026年</w:t>
      </w:r>
      <w:r>
        <w:rPr>
          <w:rFonts w:hint="eastAsia" w:ascii="仿宋_GB2312" w:hAnsi="仿宋_GB2312" w:eastAsia="仿宋_GB2312" w:cs="仿宋_GB2312"/>
          <w:spacing w:val="-20"/>
          <w:sz w:val="32"/>
          <w:szCs w:val="32"/>
        </w:rPr>
        <w:t>国有资本经营预算支出</w:t>
      </w:r>
      <w:r>
        <w:rPr>
          <w:rFonts w:hint="eastAsia" w:ascii="仿宋_GB2312" w:hAnsi="仿宋_GB2312" w:eastAsia="仿宋_GB2312" w:cs="仿宋_GB2312"/>
          <w:spacing w:val="-20"/>
          <w:sz w:val="32"/>
          <w:szCs w:val="32"/>
          <w:lang w:eastAsia="zh-CN"/>
        </w:rPr>
        <w:t>预算</w:t>
      </w:r>
      <w:r>
        <w:rPr>
          <w:rFonts w:hint="eastAsia" w:ascii="仿宋_GB2312" w:hAnsi="仿宋_GB2312" w:eastAsia="仿宋_GB2312" w:cs="仿宋_GB2312"/>
          <w:spacing w:val="-20"/>
          <w:sz w:val="32"/>
          <w:szCs w:val="32"/>
        </w:rPr>
        <w:t>表的说明</w:t>
      </w:r>
    </w:p>
    <w:p w14:paraId="7F7BD28B">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十、其他重要事项的情况说明</w:t>
      </w:r>
    </w:p>
    <w:p w14:paraId="05FC0523">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第三部分  名词解释</w:t>
      </w:r>
    </w:p>
    <w:p w14:paraId="588C021E">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第四部分  </w:t>
      </w:r>
      <w:r>
        <w:rPr>
          <w:rFonts w:hint="eastAsia" w:ascii="仿宋_GB2312" w:hAnsi="仿宋_GB2312" w:eastAsia="仿宋_GB2312" w:cs="仿宋_GB2312"/>
          <w:b/>
          <w:sz w:val="32"/>
          <w:szCs w:val="32"/>
          <w:lang w:eastAsia="zh-CN"/>
        </w:rPr>
        <w:t>2026年</w:t>
      </w:r>
      <w:r>
        <w:rPr>
          <w:rFonts w:hint="eastAsia" w:ascii="仿宋_GB2312" w:hAnsi="仿宋_GB2312" w:eastAsia="仿宋_GB2312" w:cs="仿宋_GB2312"/>
          <w:b/>
          <w:sz w:val="32"/>
          <w:szCs w:val="32"/>
        </w:rPr>
        <w:t>部门预算表</w:t>
      </w:r>
    </w:p>
    <w:p w14:paraId="57E69441">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 </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收支预算总表</w:t>
      </w:r>
    </w:p>
    <w:p w14:paraId="3C932682">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 </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收入预算总表</w:t>
      </w:r>
    </w:p>
    <w:p w14:paraId="76C16C76">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 </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支出预算总表</w:t>
      </w:r>
    </w:p>
    <w:p w14:paraId="33E63FA1">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 </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财政拨款收支预算总表</w:t>
      </w:r>
    </w:p>
    <w:p w14:paraId="13D4DC65">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 </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财政拨款一般公共预算支出预算表</w:t>
      </w:r>
    </w:p>
    <w:p w14:paraId="520393E1">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 </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财政拨款一般公共预算基本支出预算表</w:t>
      </w:r>
    </w:p>
    <w:p w14:paraId="62841E0C">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 </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财政拨款一般公共预算“三公”经费支出预算表</w:t>
      </w:r>
    </w:p>
    <w:p w14:paraId="598B02A8">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 </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财政拨款政府性基金预算支出预算表</w:t>
      </w:r>
    </w:p>
    <w:p w14:paraId="4E240124">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国有资本经营预算支出</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 xml:space="preserve">表 </w:t>
      </w:r>
    </w:p>
    <w:p w14:paraId="2F2B384E">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 </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项目支出预算表</w:t>
      </w:r>
    </w:p>
    <w:p w14:paraId="64B99312">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财政拨款政府采购预算表</w:t>
      </w:r>
    </w:p>
    <w:p w14:paraId="1202F8B8">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项目支出绩效目标表</w:t>
      </w:r>
    </w:p>
    <w:p w14:paraId="61D730F0">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z w:val="32"/>
          <w:szCs w:val="32"/>
        </w:rPr>
        <w:sectPr>
          <w:headerReference r:id="rId5" w:type="default"/>
          <w:footerReference r:id="rId6" w:type="default"/>
          <w:pgSz w:w="11907" w:h="16840"/>
          <w:pgMar w:top="2098" w:right="1361" w:bottom="1304" w:left="1474" w:header="765" w:footer="765" w:gutter="0"/>
          <w:pgNumType w:fmt="numberInDash"/>
          <w:cols w:space="720" w:num="1"/>
          <w:docGrid w:linePitch="326" w:charSpace="0"/>
        </w:sectPr>
      </w:pPr>
      <w:r>
        <w:rPr>
          <w:rFonts w:hint="eastAsia" w:ascii="仿宋_GB2312" w:hAnsi="仿宋_GB2312" w:eastAsia="仿宋_GB2312" w:cs="仿宋_GB2312"/>
          <w:sz w:val="32"/>
          <w:szCs w:val="32"/>
        </w:rPr>
        <w:t>十三、关于空表的说明</w:t>
      </w:r>
    </w:p>
    <w:p w14:paraId="0A6F27C5">
      <w:pPr>
        <w:pStyle w:val="2"/>
        <w:pageBreakBefore w:val="0"/>
        <w:kinsoku/>
        <w:wordWrap/>
        <w:overflowPunct/>
        <w:topLinePunct w:val="0"/>
        <w:autoSpaceDE/>
        <w:autoSpaceDN/>
        <w:bidi w:val="0"/>
        <w:spacing w:before="0" w:after="0" w:line="600" w:lineRule="exact"/>
        <w:jc w:val="center"/>
        <w:rPr>
          <w:rFonts w:hint="eastAsia" w:ascii="方正小标宋简体" w:hAnsi="方正小标宋简体" w:eastAsia="方正小标宋简体" w:cs="方正小标宋简体"/>
          <w:b w:val="0"/>
          <w:bCs w:val="0"/>
          <w:sz w:val="48"/>
          <w:szCs w:val="48"/>
          <w:lang w:eastAsia="zh-CN"/>
        </w:rPr>
      </w:pPr>
      <w:bookmarkStart w:id="0" w:name="_Toc78784554"/>
      <w:r>
        <w:rPr>
          <w:rFonts w:hint="eastAsia" w:ascii="方正小标宋简体" w:hAnsi="方正小标宋简体" w:eastAsia="方正小标宋简体" w:cs="方正小标宋简体"/>
          <w:b w:val="0"/>
          <w:bCs w:val="0"/>
          <w:sz w:val="48"/>
          <w:szCs w:val="48"/>
          <w:lang w:eastAsia="zh-CN"/>
        </w:rPr>
        <w:t>第一部分  概 况</w:t>
      </w:r>
      <w:bookmarkEnd w:id="0"/>
    </w:p>
    <w:p w14:paraId="28E5E31C">
      <w:pPr>
        <w:keepNext w:val="0"/>
        <w:keepLines w:val="0"/>
        <w:pageBreakBefore w:val="0"/>
        <w:kinsoku/>
        <w:wordWrap/>
        <w:overflowPunct/>
        <w:topLinePunct w:val="0"/>
        <w:autoSpaceDE/>
        <w:autoSpaceDN/>
        <w:bidi w:val="0"/>
        <w:snapToGrid w:val="0"/>
        <w:spacing w:line="600" w:lineRule="exact"/>
        <w:ind w:left="0" w:leftChars="0"/>
        <w:rPr>
          <w:rFonts w:hint="eastAsia" w:ascii="仿宋_GB2312" w:hAnsi="仿宋_GB2312" w:eastAsia="仿宋_GB2312" w:cs="仿宋_GB2312"/>
          <w:sz w:val="28"/>
          <w:szCs w:val="28"/>
        </w:rPr>
      </w:pPr>
    </w:p>
    <w:p w14:paraId="12794F1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baseline"/>
        <w:rPr>
          <w:rFonts w:hint="eastAsia" w:ascii="仿宋_GB2312" w:hAnsi="仿宋_GB2312" w:eastAsia="仿宋_GB2312" w:cs="仿宋_GB2312"/>
          <w:color w:val="auto"/>
          <w:sz w:val="32"/>
          <w:szCs w:val="32"/>
        </w:rPr>
      </w:pPr>
      <w:bookmarkStart w:id="1" w:name="_Toc78784555"/>
      <w:r>
        <w:rPr>
          <w:rFonts w:hint="eastAsia" w:ascii="黑体" w:hAnsi="黑体" w:eastAsia="黑体" w:cs="黑体"/>
          <w:color w:val="auto"/>
          <w:sz w:val="32"/>
          <w:szCs w:val="32"/>
        </w:rPr>
        <w:t>一、主要职责</w:t>
      </w:r>
      <w:bookmarkEnd w:id="1"/>
    </w:p>
    <w:p w14:paraId="2704CFBD">
      <w:pPr>
        <w:keepNext w:val="0"/>
        <w:keepLines w:val="0"/>
        <w:pageBreakBefore w:val="0"/>
        <w:widowControl w:val="0"/>
        <w:kinsoku/>
        <w:wordWrap/>
        <w:overflowPunct/>
        <w:topLinePunct w:val="0"/>
        <w:autoSpaceDE/>
        <w:autoSpaceDN/>
        <w:bidi w:val="0"/>
        <w:adjustRightInd w:val="0"/>
        <w:snapToGrid/>
        <w:spacing w:line="600" w:lineRule="exact"/>
        <w:ind w:firstLine="633" w:firstLineChars="198"/>
        <w:textAlignment w:val="baseline"/>
        <w:rPr>
          <w:rFonts w:hint="eastAsia" w:ascii="仿宋_GB2312" w:hAnsi="Times New Roman" w:eastAsia="仿宋_GB2312"/>
          <w:color w:val="000000"/>
          <w:sz w:val="32"/>
          <w:szCs w:val="32"/>
        </w:rPr>
      </w:pPr>
      <w:bookmarkStart w:id="2" w:name="_Toc78784556"/>
      <w:r>
        <w:rPr>
          <w:rFonts w:hint="eastAsia" w:ascii="仿宋_GB2312" w:hAnsi="Times New Roman" w:eastAsia="仿宋_GB2312"/>
          <w:color w:val="000000"/>
          <w:sz w:val="32"/>
          <w:szCs w:val="32"/>
        </w:rPr>
        <w:t>（一）贯彻执行有关国民经济和社会发展、统计等方面的法律、法规、规章和方针政策，并组织实施和监督检查。</w:t>
      </w:r>
    </w:p>
    <w:p w14:paraId="49645191">
      <w:pPr>
        <w:keepNext w:val="0"/>
        <w:keepLines w:val="0"/>
        <w:pageBreakBefore w:val="0"/>
        <w:widowControl w:val="0"/>
        <w:kinsoku/>
        <w:wordWrap/>
        <w:overflowPunct/>
        <w:topLinePunct w:val="0"/>
        <w:autoSpaceDE/>
        <w:autoSpaceDN/>
        <w:bidi w:val="0"/>
        <w:adjustRightInd w:val="0"/>
        <w:snapToGrid/>
        <w:spacing w:line="600" w:lineRule="exact"/>
        <w:ind w:firstLine="633" w:firstLineChars="198"/>
        <w:textAlignment w:val="baseline"/>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组织编制、监测评估经开区国民经济和社会发展中长期规划。组织、指导编制和衔接平衡各行业规划、专项规划。会同有关部门拟订现代服务业发展战略、规划，配合有关部门拟订先进制造业发展战略、规划。配合有关部门进行产业研究和招商政策制定。</w:t>
      </w:r>
    </w:p>
    <w:p w14:paraId="314187A0">
      <w:pPr>
        <w:keepNext w:val="0"/>
        <w:keepLines w:val="0"/>
        <w:pageBreakBefore w:val="0"/>
        <w:widowControl w:val="0"/>
        <w:kinsoku/>
        <w:wordWrap/>
        <w:overflowPunct/>
        <w:topLinePunct w:val="0"/>
        <w:autoSpaceDE/>
        <w:autoSpaceDN/>
        <w:bidi w:val="0"/>
        <w:adjustRightInd w:val="0"/>
        <w:snapToGrid/>
        <w:spacing w:line="600" w:lineRule="exact"/>
        <w:ind w:firstLine="633" w:firstLineChars="198"/>
        <w:textAlignment w:val="baseline"/>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（三）统筹推动经开区高质量发展的总体目标、重大任务以及相关政策。</w:t>
      </w:r>
    </w:p>
    <w:p w14:paraId="5028D97A">
      <w:pPr>
        <w:keepNext w:val="0"/>
        <w:keepLines w:val="0"/>
        <w:pageBreakBefore w:val="0"/>
        <w:widowControl w:val="0"/>
        <w:kinsoku/>
        <w:wordWrap/>
        <w:overflowPunct/>
        <w:topLinePunct w:val="0"/>
        <w:autoSpaceDE/>
        <w:autoSpaceDN/>
        <w:bidi w:val="0"/>
        <w:adjustRightInd w:val="0"/>
        <w:snapToGrid/>
        <w:spacing w:line="600" w:lineRule="exact"/>
        <w:ind w:firstLine="633" w:firstLineChars="198"/>
        <w:textAlignment w:val="baseline"/>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研究分析国内外和经开区经济形势，提出经济社会发展的年度总体发展目标及相关政策。开展经济运行分析、预测、监测和促进，协调解决经济运行中的重大问题，撰写经济运行分析报告。研究经济运行中的相关问题并提出政策建议。负责经济运行综合资料的编辑。负责年度发展报告编辑工作。</w:t>
      </w:r>
    </w:p>
    <w:p w14:paraId="4DB90E29">
      <w:pPr>
        <w:keepNext w:val="0"/>
        <w:keepLines w:val="0"/>
        <w:pageBreakBefore w:val="0"/>
        <w:widowControl w:val="0"/>
        <w:kinsoku/>
        <w:wordWrap/>
        <w:overflowPunct/>
        <w:topLinePunct w:val="0"/>
        <w:autoSpaceDE/>
        <w:autoSpaceDN/>
        <w:bidi w:val="0"/>
        <w:adjustRightInd w:val="0"/>
        <w:snapToGrid/>
        <w:spacing w:line="600" w:lineRule="exact"/>
        <w:ind w:firstLine="633" w:firstLineChars="198"/>
        <w:textAlignment w:val="baseline"/>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五）负责经开区固定资产投资综合管理。拟订本区全社会固定资产投资计划，会同有关部门提出本区重点建设项目投资计划和重点项目前期工作计划，并推动实施。组织推动和协调重大项目的谋划、储备和建设工作。统筹编制政府投资项目三年滚动计划和年度投资计划。组织实施投资项目的事中、事后监管。组织推进政府投资项目各类中央预算内资金申报。会同有关部门组织开展地方政府专项债券等相关申报工作。</w:t>
      </w:r>
    </w:p>
    <w:p w14:paraId="53AB7B7A">
      <w:pPr>
        <w:keepNext w:val="0"/>
        <w:keepLines w:val="0"/>
        <w:pageBreakBefore w:val="0"/>
        <w:widowControl w:val="0"/>
        <w:kinsoku/>
        <w:wordWrap/>
        <w:overflowPunct/>
        <w:topLinePunct w:val="0"/>
        <w:autoSpaceDE/>
        <w:autoSpaceDN/>
        <w:bidi w:val="0"/>
        <w:adjustRightInd w:val="0"/>
        <w:snapToGrid/>
        <w:spacing w:line="600" w:lineRule="exact"/>
        <w:ind w:firstLine="633" w:firstLineChars="198"/>
        <w:textAlignment w:val="baseline"/>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（六）统筹推动社会信用体系建设相关工作，推动社会信用环境建设。</w:t>
      </w:r>
    </w:p>
    <w:p w14:paraId="329DDC6D">
      <w:pPr>
        <w:keepNext w:val="0"/>
        <w:keepLines w:val="0"/>
        <w:pageBreakBefore w:val="0"/>
        <w:widowControl w:val="0"/>
        <w:kinsoku/>
        <w:wordWrap/>
        <w:overflowPunct/>
        <w:topLinePunct w:val="0"/>
        <w:autoSpaceDE/>
        <w:autoSpaceDN/>
        <w:bidi w:val="0"/>
        <w:adjustRightInd w:val="0"/>
        <w:snapToGrid/>
        <w:spacing w:line="600" w:lineRule="exact"/>
        <w:ind w:firstLine="633" w:firstLineChars="198"/>
        <w:textAlignment w:val="baseline"/>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（七）统筹推动经开区区域协同发展等相关工作。负责对口衔接经开区京津冀协同发展战略实施，承担经开区京津冀协同发展领导小组办公室日常工作。</w:t>
      </w:r>
    </w:p>
    <w:p w14:paraId="5886D0D2">
      <w:pPr>
        <w:keepNext w:val="0"/>
        <w:keepLines w:val="0"/>
        <w:pageBreakBefore w:val="0"/>
        <w:widowControl w:val="0"/>
        <w:kinsoku/>
        <w:wordWrap/>
        <w:overflowPunct/>
        <w:topLinePunct w:val="0"/>
        <w:autoSpaceDE/>
        <w:autoSpaceDN/>
        <w:bidi w:val="0"/>
        <w:adjustRightInd w:val="0"/>
        <w:snapToGrid/>
        <w:spacing w:line="600" w:lineRule="exact"/>
        <w:ind w:firstLine="633" w:firstLineChars="198"/>
        <w:textAlignment w:val="baseline"/>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八）负责落实支持实体经济发展的政策措施。协调重大技术装备推广应用和主题园区建设。组织落实国民经济动员规划，协调和组织实施有关工作。统筹推动、衔接平衡服务业发展重大问题、落实发展改革领域服务业政策。推动服务业重大项目建设。统筹推进数字经济发展。</w:t>
      </w:r>
    </w:p>
    <w:p w14:paraId="730B5C55">
      <w:pPr>
        <w:keepNext w:val="0"/>
        <w:keepLines w:val="0"/>
        <w:pageBreakBefore w:val="0"/>
        <w:widowControl w:val="0"/>
        <w:kinsoku/>
        <w:wordWrap/>
        <w:overflowPunct/>
        <w:topLinePunct w:val="0"/>
        <w:autoSpaceDE/>
        <w:autoSpaceDN/>
        <w:bidi w:val="0"/>
        <w:adjustRightInd w:val="0"/>
        <w:snapToGrid/>
        <w:spacing w:line="600" w:lineRule="exact"/>
        <w:ind w:firstLine="633" w:firstLineChars="198"/>
        <w:textAlignment w:val="baseline"/>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（九）负责经开区民营经济的统筹规划、综合协调等服务工作。加强对民营经济发展专项资金的组织申报、使用和监督管理。负责组织民营经济开展对外合作、交流工作。</w:t>
      </w:r>
    </w:p>
    <w:p w14:paraId="33AFEB66">
      <w:pPr>
        <w:keepNext w:val="0"/>
        <w:keepLines w:val="0"/>
        <w:pageBreakBefore w:val="0"/>
        <w:widowControl w:val="0"/>
        <w:kinsoku/>
        <w:wordWrap/>
        <w:overflowPunct/>
        <w:topLinePunct w:val="0"/>
        <w:autoSpaceDE/>
        <w:autoSpaceDN/>
        <w:bidi w:val="0"/>
        <w:adjustRightInd w:val="0"/>
        <w:snapToGrid/>
        <w:spacing w:line="600" w:lineRule="exact"/>
        <w:ind w:firstLine="633" w:firstLineChars="198"/>
        <w:textAlignment w:val="baseline"/>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十）负责统筹推进循环经济、资源节约和综合利用工作，推动相关项目建设。承担节能和清洁生产的综合协调工作，依法开展重点用能单位管理。组织拟订经开区能源规划、改革方案和政策措施，推动新能源的开发与应用，负责能源的综合平衡，研究提出重大能源项目布局建议，促进能源战略合作。</w:t>
      </w:r>
    </w:p>
    <w:p w14:paraId="0070E0B2">
      <w:pPr>
        <w:keepNext w:val="0"/>
        <w:keepLines w:val="0"/>
        <w:pageBreakBefore w:val="0"/>
        <w:widowControl w:val="0"/>
        <w:kinsoku/>
        <w:wordWrap/>
        <w:overflowPunct/>
        <w:topLinePunct w:val="0"/>
        <w:autoSpaceDE/>
        <w:autoSpaceDN/>
        <w:bidi w:val="0"/>
        <w:adjustRightInd w:val="0"/>
        <w:snapToGrid/>
        <w:spacing w:line="600" w:lineRule="exact"/>
        <w:ind w:firstLine="633" w:firstLineChars="198"/>
        <w:textAlignment w:val="baseline"/>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（十一）负责经开区双碳工作领导小组日常工作，研究编制区域碳达峰碳中和方案和相关政策，对碳达峰碳中和重点任务清单落实情况开展督查督办和评估考核。</w:t>
      </w:r>
    </w:p>
    <w:p w14:paraId="12B1FAAA">
      <w:pPr>
        <w:keepNext w:val="0"/>
        <w:keepLines w:val="0"/>
        <w:pageBreakBefore w:val="0"/>
        <w:widowControl w:val="0"/>
        <w:kinsoku/>
        <w:wordWrap/>
        <w:overflowPunct/>
        <w:topLinePunct w:val="0"/>
        <w:autoSpaceDE/>
        <w:autoSpaceDN/>
        <w:bidi w:val="0"/>
        <w:adjustRightInd w:val="0"/>
        <w:snapToGrid/>
        <w:spacing w:line="600" w:lineRule="exact"/>
        <w:ind w:firstLine="633" w:firstLineChars="198"/>
        <w:textAlignment w:val="baseline"/>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（十二）负责制定经开区绩效考核方案、年度目标分解及考核实施，对接滨海新区对经开区绩效考核工作。</w:t>
      </w:r>
    </w:p>
    <w:p w14:paraId="02A64EBE">
      <w:pPr>
        <w:keepNext w:val="0"/>
        <w:keepLines w:val="0"/>
        <w:pageBreakBefore w:val="0"/>
        <w:widowControl w:val="0"/>
        <w:kinsoku/>
        <w:wordWrap/>
        <w:overflowPunct/>
        <w:topLinePunct w:val="0"/>
        <w:autoSpaceDE/>
        <w:autoSpaceDN/>
        <w:bidi w:val="0"/>
        <w:adjustRightInd w:val="0"/>
        <w:snapToGrid/>
        <w:spacing w:line="600" w:lineRule="exact"/>
        <w:ind w:firstLine="633" w:firstLineChars="198"/>
        <w:textAlignment w:val="baseline"/>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（十三）负责商务部、天津市商务局对经开区综合发展水平评价及日常统计报表工作。</w:t>
      </w:r>
    </w:p>
    <w:p w14:paraId="42BDA90E">
      <w:pPr>
        <w:keepNext w:val="0"/>
        <w:keepLines w:val="0"/>
        <w:pageBreakBefore w:val="0"/>
        <w:widowControl w:val="0"/>
        <w:kinsoku/>
        <w:wordWrap/>
        <w:overflowPunct/>
        <w:topLinePunct w:val="0"/>
        <w:autoSpaceDE/>
        <w:autoSpaceDN/>
        <w:bidi w:val="0"/>
        <w:adjustRightInd w:val="0"/>
        <w:snapToGrid/>
        <w:spacing w:line="600" w:lineRule="exact"/>
        <w:ind w:firstLine="633" w:firstLineChars="198"/>
        <w:textAlignment w:val="baseline"/>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 xml:space="preserve">（十四）负责规定权限内重要商品、服务价格和收费标准的制定、调整并组织实施，提出价格政策措施和改革意见。              </w:t>
      </w:r>
    </w:p>
    <w:p w14:paraId="1275D306">
      <w:pPr>
        <w:keepNext w:val="0"/>
        <w:keepLines w:val="0"/>
        <w:pageBreakBefore w:val="0"/>
        <w:widowControl w:val="0"/>
        <w:kinsoku/>
        <w:wordWrap/>
        <w:overflowPunct/>
        <w:topLinePunct w:val="0"/>
        <w:autoSpaceDE/>
        <w:autoSpaceDN/>
        <w:bidi w:val="0"/>
        <w:adjustRightInd w:val="0"/>
        <w:snapToGrid/>
        <w:spacing w:line="600" w:lineRule="exact"/>
        <w:ind w:firstLine="633" w:firstLineChars="198"/>
        <w:textAlignment w:val="baseline"/>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（十五）配合上级开展经开区粮食流通行业管理、统计、应急工作，计划用粮和节约用粮的宣传、组织、推动工作。对接滨海新区发改委，支持经开区灾害救助所需的救灾物资供应保障工作。</w:t>
      </w:r>
    </w:p>
    <w:p w14:paraId="25949D77">
      <w:pPr>
        <w:keepNext w:val="0"/>
        <w:keepLines w:val="0"/>
        <w:pageBreakBefore w:val="0"/>
        <w:widowControl w:val="0"/>
        <w:kinsoku/>
        <w:wordWrap/>
        <w:overflowPunct/>
        <w:topLinePunct w:val="0"/>
        <w:autoSpaceDE/>
        <w:autoSpaceDN/>
        <w:bidi w:val="0"/>
        <w:adjustRightInd w:val="0"/>
        <w:snapToGrid/>
        <w:spacing w:line="600" w:lineRule="exact"/>
        <w:ind w:firstLine="633" w:firstLineChars="198"/>
        <w:textAlignment w:val="baseline"/>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（十六）负责协调处理辖区内油气长输管道（不含城镇燃气管道和炼油、化工等企业厂区内管道）保护工作，指导、监督有关单位履行管道保护义务。配合上级部门查处危害管道安全的违法行为。</w:t>
      </w:r>
    </w:p>
    <w:p w14:paraId="492A2CF0">
      <w:pPr>
        <w:keepNext w:val="0"/>
        <w:keepLines w:val="0"/>
        <w:pageBreakBefore w:val="0"/>
        <w:widowControl w:val="0"/>
        <w:kinsoku/>
        <w:wordWrap/>
        <w:overflowPunct/>
        <w:topLinePunct w:val="0"/>
        <w:autoSpaceDE/>
        <w:autoSpaceDN/>
        <w:bidi w:val="0"/>
        <w:adjustRightInd w:val="0"/>
        <w:snapToGrid/>
        <w:spacing w:line="600" w:lineRule="exact"/>
        <w:ind w:firstLine="633" w:firstLineChars="198"/>
        <w:textAlignment w:val="baseline"/>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（十七）负责组织实施经开区统计工作，开展分析研究。对有关统计数据进行审核、监测、检查和评估，确保数据质量。查处统计违法违纪案件。</w:t>
      </w:r>
    </w:p>
    <w:p w14:paraId="683BA4FF">
      <w:pPr>
        <w:keepNext w:val="0"/>
        <w:keepLines w:val="0"/>
        <w:pageBreakBefore w:val="0"/>
        <w:widowControl w:val="0"/>
        <w:kinsoku/>
        <w:wordWrap/>
        <w:overflowPunct/>
        <w:topLinePunct w:val="0"/>
        <w:autoSpaceDE/>
        <w:autoSpaceDN/>
        <w:bidi w:val="0"/>
        <w:adjustRightInd w:val="0"/>
        <w:snapToGrid/>
        <w:spacing w:line="600" w:lineRule="exact"/>
        <w:ind w:firstLine="633" w:firstLineChars="198"/>
        <w:textAlignment w:val="baseline"/>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（十八）负责本领域安全生产管理工作。</w:t>
      </w:r>
    </w:p>
    <w:p w14:paraId="597DC4F3">
      <w:pPr>
        <w:keepNext w:val="0"/>
        <w:keepLines w:val="0"/>
        <w:pageBreakBefore w:val="0"/>
        <w:widowControl w:val="0"/>
        <w:kinsoku/>
        <w:wordWrap/>
        <w:overflowPunct/>
        <w:topLinePunct w:val="0"/>
        <w:autoSpaceDE/>
        <w:autoSpaceDN/>
        <w:bidi w:val="0"/>
        <w:adjustRightInd w:val="0"/>
        <w:snapToGrid/>
        <w:spacing w:line="600" w:lineRule="exact"/>
        <w:ind w:firstLine="633" w:firstLineChars="198"/>
        <w:textAlignment w:val="baseline"/>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（十九）贯彻落实本部门全面从严治党主体责任，严格落实基层党建工作任务，发挥党组织战斗堡垒作用和党员先锋模范作用。</w:t>
      </w:r>
    </w:p>
    <w:p w14:paraId="39E7FF6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baseline"/>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（二十）完成党委、管委会交办的其他各项工作。</w:t>
      </w:r>
    </w:p>
    <w:p w14:paraId="0BB9627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二、机构设置</w:t>
      </w:r>
      <w:bookmarkEnd w:id="2"/>
      <w:r>
        <w:rPr>
          <w:rFonts w:hint="eastAsia" w:ascii="黑体" w:hAnsi="黑体" w:eastAsia="黑体" w:cs="黑体"/>
          <w:color w:val="auto"/>
          <w:sz w:val="32"/>
          <w:szCs w:val="32"/>
        </w:rPr>
        <w:t>情况</w:t>
      </w:r>
    </w:p>
    <w:p w14:paraId="7DBC337C">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ascii="仿宋_GB2312" w:hAnsi="Times New Roman" w:eastAsia="仿宋_GB2312"/>
          <w:sz w:val="32"/>
          <w:szCs w:val="32"/>
        </w:rPr>
      </w:pPr>
      <w:r>
        <w:rPr>
          <w:rFonts w:hint="eastAsia" w:ascii="仿宋_GB2312" w:hAnsi="Times New Roman" w:eastAsia="仿宋_GB2312"/>
          <w:sz w:val="32"/>
          <w:szCs w:val="32"/>
        </w:rPr>
        <w:t>本</w:t>
      </w:r>
      <w:r>
        <w:rPr>
          <w:rFonts w:ascii="仿宋_GB2312" w:hAnsi="Times New Roman" w:eastAsia="仿宋_GB2312"/>
          <w:sz w:val="32"/>
          <w:szCs w:val="32"/>
        </w:rPr>
        <w:t>部门内设</w:t>
      </w:r>
      <w:r>
        <w:rPr>
          <w:rFonts w:hint="eastAsia" w:ascii="仿宋_GB2312" w:hAnsi="Times New Roman" w:eastAsia="仿宋_GB2312"/>
          <w:sz w:val="32"/>
          <w:szCs w:val="32"/>
          <w:u w:val="none"/>
          <w:lang w:val="en-US" w:eastAsia="zh-CN"/>
        </w:rPr>
        <w:t>9</w:t>
      </w:r>
      <w:r>
        <w:rPr>
          <w:rFonts w:ascii="仿宋_GB2312" w:hAnsi="Times New Roman" w:eastAsia="仿宋_GB2312"/>
          <w:sz w:val="32"/>
          <w:szCs w:val="32"/>
        </w:rPr>
        <w:t>个职能处室</w:t>
      </w:r>
      <w:r>
        <w:rPr>
          <w:rFonts w:hint="eastAsia" w:ascii="仿宋_GB2312" w:hAnsi="Times New Roman" w:eastAsia="仿宋_GB2312"/>
          <w:sz w:val="32"/>
          <w:szCs w:val="32"/>
          <w:lang w:eastAsia="zh-CN"/>
        </w:rPr>
        <w:t>，</w:t>
      </w:r>
      <w:r>
        <w:rPr>
          <w:rFonts w:hint="eastAsia" w:ascii="仿宋_GB2312" w:hAnsi="仿宋_GB2312" w:eastAsia="仿宋_GB2312" w:cs="仿宋_GB2312"/>
          <w:sz w:val="32"/>
          <w:szCs w:val="32"/>
        </w:rPr>
        <w:t>分别是:综合业务科、经济运行科、指标核算科、投资科、产业发展规划科、区域协同发展科、双碳工作办公室、民营经济管理办公室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资产盘活科</w:t>
      </w:r>
      <w:r>
        <w:rPr>
          <w:rFonts w:hint="eastAsia" w:ascii="仿宋_GB2312" w:hAnsi="仿宋_GB2312" w:eastAsia="仿宋_GB2312" w:cs="仿宋_GB2312"/>
          <w:sz w:val="32"/>
          <w:szCs w:val="32"/>
        </w:rPr>
        <w:t>。</w:t>
      </w:r>
    </w:p>
    <w:p w14:paraId="2E5DAA0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color w:val="auto"/>
          <w:sz w:val="32"/>
          <w:szCs w:val="32"/>
        </w:rPr>
        <w:sectPr>
          <w:pgSz w:w="11907" w:h="16840"/>
          <w:pgMar w:top="2098" w:right="1361" w:bottom="1304" w:left="1474" w:header="765" w:footer="765" w:gutter="0"/>
          <w:pgNumType w:fmt="numberInDash"/>
          <w:cols w:space="720" w:num="1"/>
          <w:docGrid w:linePitch="326" w:charSpace="0"/>
        </w:sectPr>
      </w:pPr>
      <w:r>
        <w:rPr>
          <w:rFonts w:hint="eastAsia" w:ascii="仿宋_GB2312" w:hAnsi="仿宋_GB2312" w:eastAsia="仿宋_GB2312" w:cs="仿宋_GB2312"/>
          <w:color w:val="auto"/>
          <w:sz w:val="32"/>
          <w:szCs w:val="32"/>
        </w:rPr>
        <w:t>纳入</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2026年</w:t>
      </w:r>
      <w:r>
        <w:rPr>
          <w:rFonts w:hint="eastAsia" w:ascii="仿宋_GB2312" w:hAnsi="仿宋_GB2312" w:eastAsia="仿宋_GB2312" w:cs="仿宋_GB2312"/>
          <w:color w:val="auto"/>
          <w:sz w:val="32"/>
          <w:szCs w:val="32"/>
        </w:rPr>
        <w:t>部门预算编制范围的预算单位</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sz w:val="32"/>
          <w:szCs w:val="32"/>
        </w:rPr>
        <w:t>发改局本级。</w:t>
      </w:r>
    </w:p>
    <w:p w14:paraId="233A24DE">
      <w:pPr>
        <w:pStyle w:val="2"/>
        <w:pageBreakBefore w:val="0"/>
        <w:kinsoku/>
        <w:wordWrap/>
        <w:overflowPunct/>
        <w:topLinePunct w:val="0"/>
        <w:autoSpaceDE/>
        <w:autoSpaceDN/>
        <w:bidi w:val="0"/>
        <w:spacing w:before="0" w:after="0" w:line="600" w:lineRule="exact"/>
        <w:jc w:val="center"/>
        <w:rPr>
          <w:rFonts w:hint="eastAsia" w:ascii="方正小标宋简体" w:hAnsi="方正小标宋简体" w:eastAsia="方正小标宋简体" w:cs="方正小标宋简体"/>
          <w:b w:val="0"/>
          <w:bCs w:val="0"/>
          <w:sz w:val="48"/>
          <w:szCs w:val="48"/>
        </w:rPr>
      </w:pPr>
      <w:bookmarkStart w:id="3" w:name="_Toc78784570"/>
      <w:r>
        <w:rPr>
          <w:rFonts w:hint="eastAsia" w:ascii="方正小标宋简体" w:hAnsi="方正小标宋简体" w:eastAsia="方正小标宋简体" w:cs="方正小标宋简体"/>
          <w:b w:val="0"/>
          <w:bCs w:val="0"/>
          <w:sz w:val="48"/>
          <w:szCs w:val="48"/>
          <w:lang w:eastAsia="zh-CN"/>
        </w:rPr>
        <w:t>第二部分</w:t>
      </w:r>
      <w:r>
        <w:rPr>
          <w:rFonts w:hint="eastAsia" w:ascii="方正小标宋简体" w:hAnsi="方正小标宋简体" w:eastAsia="方正小标宋简体" w:cs="方正小标宋简体"/>
          <w:b w:val="0"/>
          <w:bCs w:val="0"/>
          <w:sz w:val="48"/>
          <w:szCs w:val="48"/>
        </w:rPr>
        <w:t xml:space="preserve"> </w:t>
      </w:r>
      <w:r>
        <w:rPr>
          <w:rFonts w:hint="eastAsia" w:ascii="方正小标宋简体" w:hAnsi="方正小标宋简体" w:eastAsia="方正小标宋简体" w:cs="方正小标宋简体"/>
          <w:b w:val="0"/>
          <w:bCs w:val="0"/>
          <w:sz w:val="48"/>
          <w:szCs w:val="48"/>
          <w:lang w:eastAsia="zh-CN"/>
        </w:rPr>
        <w:t>2026年</w:t>
      </w:r>
      <w:r>
        <w:rPr>
          <w:rFonts w:hint="eastAsia" w:ascii="方正小标宋简体" w:hAnsi="方正小标宋简体" w:eastAsia="方正小标宋简体" w:cs="方正小标宋简体"/>
          <w:b w:val="0"/>
          <w:bCs w:val="0"/>
          <w:sz w:val="48"/>
          <w:szCs w:val="48"/>
        </w:rPr>
        <w:t>部门预算情况说明</w:t>
      </w:r>
      <w:bookmarkEnd w:id="3"/>
    </w:p>
    <w:p w14:paraId="76FF0EAB">
      <w:pPr>
        <w:keepNext w:val="0"/>
        <w:keepLines w:val="0"/>
        <w:pageBreakBefore w:val="0"/>
        <w:numPr>
          <w:ilvl w:val="0"/>
          <w:numId w:val="0"/>
        </w:numPr>
        <w:kinsoku/>
        <w:wordWrap/>
        <w:overflowPunct/>
        <w:topLinePunct w:val="0"/>
        <w:autoSpaceDE/>
        <w:autoSpaceDN/>
        <w:bidi w:val="0"/>
        <w:snapToGrid w:val="0"/>
        <w:spacing w:line="600" w:lineRule="exact"/>
        <w:ind w:left="0" w:leftChars="0"/>
        <w:jc w:val="both"/>
        <w:rPr>
          <w:rFonts w:hint="eastAsia" w:ascii="仿宋_GB2312" w:hAnsi="仿宋_GB2312" w:eastAsia="仿宋_GB2312" w:cs="仿宋_GB2312"/>
          <w:sz w:val="28"/>
          <w:szCs w:val="28"/>
        </w:rPr>
      </w:pPr>
    </w:p>
    <w:p w14:paraId="66FC41E2">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黑体" w:hAnsi="黑体" w:eastAsia="黑体" w:cs="黑体"/>
          <w:sz w:val="32"/>
          <w:szCs w:val="32"/>
        </w:rPr>
      </w:pPr>
      <w:bookmarkStart w:id="4" w:name="_Toc78784571"/>
      <w:r>
        <w:rPr>
          <w:rFonts w:hint="eastAsia" w:ascii="黑体" w:hAnsi="黑体" w:eastAsia="黑体" w:cs="黑体"/>
          <w:sz w:val="32"/>
          <w:szCs w:val="32"/>
        </w:rPr>
        <w:t>一、</w:t>
      </w:r>
      <w:bookmarkEnd w:id="4"/>
      <w:r>
        <w:rPr>
          <w:rFonts w:hint="eastAsia" w:ascii="黑体" w:hAnsi="黑体" w:eastAsia="黑体" w:cs="黑体"/>
          <w:sz w:val="32"/>
          <w:szCs w:val="32"/>
        </w:rPr>
        <w:t>关于</w:t>
      </w:r>
      <w:r>
        <w:rPr>
          <w:rFonts w:hint="eastAsia" w:ascii="黑体" w:hAnsi="黑体" w:eastAsia="黑体" w:cs="黑体"/>
          <w:sz w:val="32"/>
          <w:szCs w:val="32"/>
          <w:lang w:eastAsia="zh-CN"/>
        </w:rPr>
        <w:t>2026年</w:t>
      </w:r>
      <w:r>
        <w:rPr>
          <w:rFonts w:hint="eastAsia" w:ascii="黑体" w:hAnsi="黑体" w:eastAsia="黑体" w:cs="黑体"/>
          <w:sz w:val="32"/>
          <w:szCs w:val="32"/>
        </w:rPr>
        <w:t>收支预算总表的说明</w:t>
      </w:r>
    </w:p>
    <w:p w14:paraId="32A6DE2C">
      <w:pPr>
        <w:keepNext w:val="0"/>
        <w:keepLines w:val="0"/>
        <w:pageBreakBefore w:val="0"/>
        <w:widowControl w:val="0"/>
        <w:overflowPunct/>
        <w:topLinePunct w:val="0"/>
        <w:autoSpaceDE/>
        <w:autoSpaceDN/>
        <w:bidi w:val="0"/>
        <w:adjustRightInd w:val="0"/>
        <w:snapToGrid/>
        <w:spacing w:line="600" w:lineRule="exact"/>
        <w:ind w:firstLine="640" w:firstLineChars="200"/>
        <w:jc w:val="both"/>
        <w:textAlignment w:val="baseline"/>
        <w:rPr>
          <w:rFonts w:eastAsia="仿宋_GB2312"/>
          <w:sz w:val="32"/>
          <w:szCs w:val="32"/>
        </w:rPr>
      </w:pPr>
      <w:r>
        <w:rPr>
          <w:rFonts w:hint="eastAsia" w:ascii="仿宋_GB2312" w:hAnsi="仿宋_GB2312" w:eastAsia="仿宋_GB2312" w:cs="仿宋_GB2312"/>
          <w:sz w:val="32"/>
          <w:szCs w:val="32"/>
        </w:rPr>
        <w:t>按照综合预算的原则，</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sz w:val="32"/>
          <w:szCs w:val="32"/>
        </w:rPr>
        <w:t>所有收入和支出均纳入部门预算管理。收入包括：一般公共预算拨款收入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233,607.45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万元、政府性基金预算拨款收入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万元、国有资本经营预算拨款收入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万元、纳入财政专户的教育收费拨</w:t>
      </w:r>
      <w:r>
        <w:rPr>
          <w:rFonts w:hint="eastAsia" w:ascii="仿宋_GB2312" w:hAnsi="仿宋_GB2312" w:eastAsia="仿宋_GB2312" w:cs="仿宋_GB2312"/>
          <w:spacing w:val="-20"/>
          <w:sz w:val="32"/>
          <w:szCs w:val="32"/>
        </w:rPr>
        <w:t>款</w:t>
      </w:r>
      <w:r>
        <w:rPr>
          <w:rFonts w:hint="eastAsia" w:ascii="仿宋_GB2312" w:hAnsi="仿宋_GB2312" w:eastAsia="仿宋_GB2312" w:cs="仿宋_GB2312"/>
          <w:spacing w:val="-20"/>
          <w:sz w:val="32"/>
          <w:szCs w:val="32"/>
          <w:u w:val="single"/>
        </w:rPr>
        <w:t xml:space="preserve">  </w:t>
      </w:r>
      <w:r>
        <w:rPr>
          <w:rFonts w:hint="eastAsia" w:ascii="仿宋_GB2312" w:hAnsi="仿宋_GB2312" w:eastAsia="仿宋_GB2312" w:cs="仿宋_GB2312"/>
          <w:spacing w:val="-20"/>
          <w:sz w:val="32"/>
          <w:szCs w:val="32"/>
          <w:u w:val="single"/>
          <w:lang w:val="en-US" w:eastAsia="zh-CN"/>
        </w:rPr>
        <w:t>0</w:t>
      </w:r>
      <w:r>
        <w:rPr>
          <w:rFonts w:hint="eastAsia" w:ascii="仿宋_GB2312" w:hAnsi="仿宋_GB2312" w:eastAsia="仿宋_GB2312" w:cs="仿宋_GB2312"/>
          <w:spacing w:val="-20"/>
          <w:sz w:val="32"/>
          <w:szCs w:val="32"/>
          <w:u w:val="single"/>
        </w:rPr>
        <w:t xml:space="preserve">  </w:t>
      </w:r>
      <w:r>
        <w:rPr>
          <w:rFonts w:hint="eastAsia" w:ascii="仿宋_GB2312" w:hAnsi="仿宋_GB2312" w:eastAsia="仿宋_GB2312" w:cs="仿宋_GB2312"/>
          <w:spacing w:val="-20"/>
          <w:sz w:val="32"/>
          <w:szCs w:val="32"/>
        </w:rPr>
        <w:t>万元、其他事业收入</w:t>
      </w:r>
      <w:r>
        <w:rPr>
          <w:rFonts w:hint="eastAsia" w:ascii="仿宋_GB2312" w:hAnsi="仿宋_GB2312" w:eastAsia="仿宋_GB2312" w:cs="仿宋_GB2312"/>
          <w:spacing w:val="-20"/>
          <w:sz w:val="32"/>
          <w:szCs w:val="32"/>
          <w:u w:val="single"/>
        </w:rPr>
        <w:t xml:space="preserve">  </w:t>
      </w:r>
      <w:r>
        <w:rPr>
          <w:rFonts w:hint="eastAsia" w:ascii="仿宋_GB2312" w:hAnsi="仿宋_GB2312" w:eastAsia="仿宋_GB2312" w:cs="仿宋_GB2312"/>
          <w:spacing w:val="-20"/>
          <w:sz w:val="32"/>
          <w:szCs w:val="32"/>
          <w:u w:val="single"/>
          <w:lang w:val="en-US" w:eastAsia="zh-CN"/>
        </w:rPr>
        <w:t xml:space="preserve">0 </w:t>
      </w:r>
      <w:r>
        <w:rPr>
          <w:rFonts w:hint="eastAsia" w:ascii="仿宋_GB2312" w:hAnsi="仿宋_GB2312" w:eastAsia="仿宋_GB2312" w:cs="仿宋_GB2312"/>
          <w:spacing w:val="-20"/>
          <w:sz w:val="32"/>
          <w:szCs w:val="32"/>
          <w:u w:val="single"/>
        </w:rPr>
        <w:t xml:space="preserve"> </w:t>
      </w:r>
      <w:r>
        <w:rPr>
          <w:rFonts w:hint="eastAsia" w:ascii="仿宋_GB2312" w:hAnsi="仿宋_GB2312" w:eastAsia="仿宋_GB2312" w:cs="仿宋_GB2312"/>
          <w:spacing w:val="-20"/>
          <w:sz w:val="32"/>
          <w:szCs w:val="32"/>
        </w:rPr>
        <w:t>万元、经营收入</w:t>
      </w:r>
      <w:r>
        <w:rPr>
          <w:rFonts w:hint="eastAsia" w:ascii="仿宋_GB2312" w:hAnsi="仿宋_GB2312" w:eastAsia="仿宋_GB2312" w:cs="仿宋_GB2312"/>
          <w:spacing w:val="-20"/>
          <w:sz w:val="32"/>
          <w:szCs w:val="32"/>
          <w:u w:val="single"/>
        </w:rPr>
        <w:t xml:space="preserve">  </w:t>
      </w:r>
      <w:r>
        <w:rPr>
          <w:rFonts w:hint="eastAsia" w:ascii="仿宋_GB2312" w:hAnsi="仿宋_GB2312" w:eastAsia="仿宋_GB2312" w:cs="仿宋_GB2312"/>
          <w:spacing w:val="-20"/>
          <w:sz w:val="32"/>
          <w:szCs w:val="32"/>
          <w:u w:val="single"/>
          <w:lang w:val="en-US" w:eastAsia="zh-CN"/>
        </w:rPr>
        <w:t xml:space="preserve">0 </w:t>
      </w:r>
      <w:r>
        <w:rPr>
          <w:rFonts w:hint="eastAsia" w:ascii="仿宋_GB2312" w:hAnsi="仿宋_GB2312" w:eastAsia="仿宋_GB2312" w:cs="仿宋_GB2312"/>
          <w:spacing w:val="-20"/>
          <w:sz w:val="32"/>
          <w:szCs w:val="32"/>
          <w:u w:val="single"/>
        </w:rPr>
        <w:t xml:space="preserve"> </w:t>
      </w:r>
      <w:r>
        <w:rPr>
          <w:rFonts w:hint="eastAsia" w:ascii="仿宋_GB2312" w:hAnsi="仿宋_GB2312" w:eastAsia="仿宋_GB2312" w:cs="仿宋_GB2312"/>
          <w:spacing w:val="-20"/>
          <w:sz w:val="32"/>
          <w:szCs w:val="32"/>
        </w:rPr>
        <w:t>万元、上级补助收入</w:t>
      </w:r>
      <w:r>
        <w:rPr>
          <w:rFonts w:hint="eastAsia" w:ascii="仿宋_GB2312" w:hAnsi="仿宋_GB2312" w:eastAsia="仿宋_GB2312" w:cs="仿宋_GB2312"/>
          <w:spacing w:val="-20"/>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万元、附属单位上缴收入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万元、其他收入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元、上年结转和结余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万元；支出包括：</w:t>
      </w:r>
      <w:r>
        <w:rPr>
          <w:rFonts w:hint="eastAsia" w:ascii="仿宋_GB2312" w:hAnsi="Times New Roman" w:eastAsia="仿宋_GB2312"/>
          <w:sz w:val="32"/>
          <w:szCs w:val="32"/>
        </w:rPr>
        <w:t>一般公共服务支出</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1</w:t>
      </w:r>
      <w:r>
        <w:rPr>
          <w:rFonts w:hint="eastAsia" w:ascii="仿宋_GB2312" w:hAnsi="Times New Roman" w:eastAsia="仿宋_GB2312"/>
          <w:sz w:val="32"/>
          <w:szCs w:val="32"/>
          <w:u w:val="single"/>
          <w:lang w:val="en-US" w:eastAsia="zh-CN"/>
        </w:rPr>
        <w:t>,545</w:t>
      </w:r>
      <w:r>
        <w:rPr>
          <w:rFonts w:hint="eastAsia" w:ascii="仿宋_GB2312" w:hAnsi="Times New Roman" w:eastAsia="仿宋_GB2312"/>
          <w:sz w:val="32"/>
          <w:szCs w:val="32"/>
          <w:u w:val="single"/>
        </w:rPr>
        <w:t>.</w:t>
      </w:r>
      <w:r>
        <w:rPr>
          <w:rFonts w:hint="eastAsia" w:ascii="仿宋_GB2312" w:hAnsi="Times New Roman" w:eastAsia="仿宋_GB2312"/>
          <w:sz w:val="32"/>
          <w:szCs w:val="32"/>
          <w:u w:val="single"/>
          <w:lang w:val="en-US" w:eastAsia="zh-CN"/>
        </w:rPr>
        <w:t>45</w:t>
      </w:r>
      <w:r>
        <w:rPr>
          <w:rFonts w:ascii="仿宋_GB2312" w:hAnsi="Times New Roman" w:eastAsia="仿宋_GB2312"/>
          <w:sz w:val="32"/>
          <w:szCs w:val="32"/>
          <w:u w:val="single"/>
        </w:rPr>
        <w:t xml:space="preserve"> </w:t>
      </w:r>
      <w:r>
        <w:rPr>
          <w:rFonts w:ascii="仿宋_GB2312" w:hAnsi="Times New Roman" w:eastAsia="仿宋_GB2312"/>
          <w:sz w:val="32"/>
          <w:szCs w:val="32"/>
        </w:rPr>
        <w:t>万元</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科学技术支出</w:t>
      </w:r>
      <w:r>
        <w:rPr>
          <w:rFonts w:hint="eastAsia" w:ascii="仿宋_GB2312" w:hAnsi="Times New Roman" w:eastAsia="仿宋_GB2312"/>
          <w:sz w:val="32"/>
          <w:szCs w:val="32"/>
          <w:u w:val="single"/>
          <w:lang w:val="en-US" w:eastAsia="zh-CN"/>
        </w:rPr>
        <w:t xml:space="preserve">  1,124  </w:t>
      </w:r>
      <w:r>
        <w:rPr>
          <w:rFonts w:hint="eastAsia" w:ascii="仿宋_GB2312" w:hAnsi="Times New Roman" w:eastAsia="仿宋_GB2312"/>
          <w:sz w:val="32"/>
          <w:szCs w:val="32"/>
          <w:u w:val="none"/>
          <w:lang w:val="en-US" w:eastAsia="zh-CN"/>
        </w:rPr>
        <w:t>万元、节能环保支出</w:t>
      </w:r>
      <w:r>
        <w:rPr>
          <w:rFonts w:hint="eastAsia" w:ascii="仿宋_GB2312" w:hAnsi="Times New Roman" w:eastAsia="仿宋_GB2312"/>
          <w:sz w:val="32"/>
          <w:szCs w:val="32"/>
          <w:u w:val="single"/>
          <w:lang w:val="en-US" w:eastAsia="zh-CN"/>
        </w:rPr>
        <w:t xml:space="preserve"> 4,529 </w:t>
      </w:r>
      <w:r>
        <w:rPr>
          <w:rFonts w:hint="eastAsia" w:ascii="仿宋_GB2312" w:hAnsi="Times New Roman" w:eastAsia="仿宋_GB2312"/>
          <w:sz w:val="32"/>
          <w:szCs w:val="32"/>
          <w:u w:val="none"/>
          <w:lang w:val="en-US" w:eastAsia="zh-CN"/>
        </w:rPr>
        <w:t>万元、资源勘探工业信息等支出</w:t>
      </w:r>
      <w:r>
        <w:rPr>
          <w:rFonts w:hint="eastAsia" w:ascii="仿宋_GB2312" w:hAnsi="Times New Roman" w:eastAsia="仿宋_GB2312"/>
          <w:sz w:val="32"/>
          <w:szCs w:val="32"/>
          <w:u w:val="single"/>
          <w:lang w:val="en-US" w:eastAsia="zh-CN"/>
        </w:rPr>
        <w:t xml:space="preserve"> 9,144 </w:t>
      </w:r>
      <w:r>
        <w:rPr>
          <w:rFonts w:hint="eastAsia" w:ascii="仿宋_GB2312" w:hAnsi="Times New Roman" w:eastAsia="仿宋_GB2312"/>
          <w:sz w:val="32"/>
          <w:szCs w:val="32"/>
          <w:u w:val="none"/>
          <w:lang w:val="en-US" w:eastAsia="zh-CN"/>
        </w:rPr>
        <w:t>万元、商业服务业等支出</w:t>
      </w:r>
      <w:r>
        <w:rPr>
          <w:rFonts w:hint="eastAsia" w:ascii="仿宋_GB2312" w:hAnsi="Times New Roman" w:eastAsia="仿宋_GB2312"/>
          <w:sz w:val="32"/>
          <w:szCs w:val="32"/>
          <w:u w:val="single"/>
          <w:lang w:val="en-US" w:eastAsia="zh-CN"/>
        </w:rPr>
        <w:t xml:space="preserve"> 216,190 </w:t>
      </w:r>
      <w:r>
        <w:rPr>
          <w:rFonts w:hint="eastAsia" w:ascii="仿宋_GB2312" w:hAnsi="Times New Roman" w:eastAsia="仿宋_GB2312"/>
          <w:sz w:val="32"/>
          <w:szCs w:val="32"/>
          <w:u w:val="none"/>
          <w:lang w:val="en-US" w:eastAsia="zh-CN"/>
        </w:rPr>
        <w:t>万元、援助其他地区支出</w:t>
      </w:r>
      <w:r>
        <w:rPr>
          <w:rFonts w:hint="eastAsia" w:ascii="仿宋_GB2312" w:hAnsi="Times New Roman" w:eastAsia="仿宋_GB2312"/>
          <w:sz w:val="32"/>
          <w:szCs w:val="32"/>
          <w:u w:val="single"/>
          <w:lang w:val="en-US" w:eastAsia="zh-CN"/>
        </w:rPr>
        <w:t xml:space="preserve"> 1,025 </w:t>
      </w:r>
      <w:r>
        <w:rPr>
          <w:rFonts w:hint="eastAsia" w:ascii="仿宋_GB2312" w:hAnsi="Times New Roman" w:eastAsia="仿宋_GB2312"/>
          <w:sz w:val="32"/>
          <w:szCs w:val="32"/>
          <w:u w:val="none"/>
          <w:lang w:val="en-US" w:eastAsia="zh-CN"/>
        </w:rPr>
        <w:t>万元、灾害防治及应急管理支出</w:t>
      </w:r>
      <w:r>
        <w:rPr>
          <w:rFonts w:hint="eastAsia" w:ascii="仿宋_GB2312" w:hAnsi="Times New Roman" w:eastAsia="仿宋_GB2312"/>
          <w:sz w:val="32"/>
          <w:szCs w:val="32"/>
          <w:u w:val="single"/>
          <w:lang w:val="en-US" w:eastAsia="zh-CN"/>
        </w:rPr>
        <w:t xml:space="preserve"> 50 </w:t>
      </w:r>
      <w:r>
        <w:rPr>
          <w:rFonts w:hint="eastAsia" w:ascii="仿宋_GB2312" w:hAnsi="Times New Roman" w:eastAsia="仿宋_GB2312"/>
          <w:sz w:val="32"/>
          <w:szCs w:val="32"/>
          <w:u w:val="none"/>
          <w:lang w:val="en-US" w:eastAsia="zh-CN"/>
        </w:rPr>
        <w:t>万元</w:t>
      </w:r>
      <w:r>
        <w:rPr>
          <w:rFonts w:hint="eastAsia" w:ascii="仿宋_GB2312" w:hAnsi="Times New Roman" w:eastAsia="仿宋_GB2312"/>
          <w:sz w:val="32"/>
          <w:szCs w:val="32"/>
        </w:rPr>
        <w:t>。本部门202</w:t>
      </w: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年收支总预算</w:t>
      </w:r>
      <w:r>
        <w:rPr>
          <w:rFonts w:ascii="仿宋_GB2312" w:hAnsi="Times New Roman" w:eastAsia="仿宋_GB2312"/>
          <w:sz w:val="32"/>
          <w:szCs w:val="32"/>
          <w:u w:val="single"/>
        </w:rPr>
        <w:t xml:space="preserve"> </w:t>
      </w:r>
      <w:r>
        <w:rPr>
          <w:rFonts w:hint="eastAsia" w:ascii="仿宋_GB2312" w:hAnsi="仿宋_GB2312" w:eastAsia="仿宋_GB2312" w:cs="仿宋_GB2312"/>
          <w:sz w:val="32"/>
          <w:szCs w:val="32"/>
          <w:u w:val="single"/>
          <w:lang w:val="en-US" w:eastAsia="zh-CN"/>
        </w:rPr>
        <w:t>233,607.45</w:t>
      </w:r>
      <w:r>
        <w:rPr>
          <w:rFonts w:ascii="仿宋_GB2312" w:hAnsi="Times New Roman" w:eastAsia="仿宋_GB2312"/>
          <w:sz w:val="32"/>
          <w:szCs w:val="32"/>
          <w:u w:val="single"/>
        </w:rPr>
        <w:t xml:space="preserve"> </w:t>
      </w:r>
      <w:r>
        <w:rPr>
          <w:rFonts w:ascii="仿宋_GB2312" w:hAnsi="Times New Roman" w:eastAsia="仿宋_GB2312"/>
          <w:sz w:val="32"/>
          <w:szCs w:val="32"/>
        </w:rPr>
        <w:t>万元</w:t>
      </w:r>
      <w:r>
        <w:rPr>
          <w:rFonts w:hint="eastAsia" w:ascii="仿宋_GB2312" w:hAnsi="Times New Roman" w:eastAsia="仿宋_GB2312"/>
          <w:sz w:val="32"/>
          <w:szCs w:val="32"/>
        </w:rPr>
        <w:t>。</w:t>
      </w:r>
    </w:p>
    <w:p w14:paraId="184C2D50">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黑体" w:hAnsi="黑体" w:eastAsia="黑体" w:cs="黑体"/>
          <w:sz w:val="32"/>
          <w:szCs w:val="32"/>
        </w:rPr>
      </w:pPr>
      <w:bookmarkStart w:id="5" w:name="_Toc78784572"/>
      <w:r>
        <w:rPr>
          <w:rFonts w:hint="eastAsia" w:ascii="黑体" w:hAnsi="黑体" w:eastAsia="黑体" w:cs="黑体"/>
          <w:sz w:val="32"/>
          <w:szCs w:val="32"/>
        </w:rPr>
        <w:t>二、</w:t>
      </w:r>
      <w:bookmarkEnd w:id="5"/>
      <w:r>
        <w:rPr>
          <w:rFonts w:hint="eastAsia" w:ascii="黑体" w:hAnsi="黑体" w:eastAsia="黑体" w:cs="黑体"/>
          <w:sz w:val="32"/>
          <w:szCs w:val="32"/>
        </w:rPr>
        <w:t>关于</w:t>
      </w:r>
      <w:r>
        <w:rPr>
          <w:rFonts w:hint="eastAsia" w:ascii="黑体" w:hAnsi="黑体" w:eastAsia="黑体" w:cs="黑体"/>
          <w:sz w:val="32"/>
          <w:szCs w:val="32"/>
          <w:lang w:eastAsia="zh-CN"/>
        </w:rPr>
        <w:t>2026年</w:t>
      </w:r>
      <w:r>
        <w:rPr>
          <w:rFonts w:hint="eastAsia" w:ascii="黑体" w:hAnsi="黑体" w:eastAsia="黑体" w:cs="黑体"/>
          <w:sz w:val="32"/>
          <w:szCs w:val="32"/>
        </w:rPr>
        <w:t>收入预算总表的说明</w:t>
      </w:r>
    </w:p>
    <w:p w14:paraId="4EBEF9A2">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部门预算收入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233,607.45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rPr>
        <w:t>预算相比增加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30,622.19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产业扶持专项收入预算增加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。其中：上年结转和结余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%；一般公共预算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233,607.45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%；政府性基金预算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%；纳入财政专户的教育收</w:t>
      </w:r>
      <w:r>
        <w:rPr>
          <w:rFonts w:hint="eastAsia" w:ascii="仿宋_GB2312" w:hAnsi="仿宋_GB2312" w:eastAsia="仿宋_GB2312" w:cs="仿宋_GB2312"/>
          <w:spacing w:val="-20"/>
          <w:sz w:val="32"/>
          <w:szCs w:val="32"/>
        </w:rPr>
        <w:t>费拨款</w:t>
      </w:r>
      <w:r>
        <w:rPr>
          <w:rFonts w:hint="eastAsia" w:ascii="仿宋_GB2312" w:hAnsi="仿宋_GB2312" w:eastAsia="仿宋_GB2312" w:cs="仿宋_GB2312"/>
          <w:spacing w:val="-20"/>
          <w:sz w:val="32"/>
          <w:szCs w:val="32"/>
          <w:u w:val="single"/>
        </w:rPr>
        <w:t xml:space="preserve"> </w:t>
      </w:r>
      <w:r>
        <w:rPr>
          <w:rFonts w:hint="eastAsia" w:ascii="仿宋_GB2312" w:hAnsi="仿宋_GB2312" w:eastAsia="仿宋_GB2312" w:cs="仿宋_GB2312"/>
          <w:spacing w:val="-20"/>
          <w:sz w:val="32"/>
          <w:szCs w:val="32"/>
          <w:u w:val="single"/>
          <w:lang w:val="en-US" w:eastAsia="zh-CN"/>
        </w:rPr>
        <w:t>0</w:t>
      </w:r>
      <w:r>
        <w:rPr>
          <w:rFonts w:hint="eastAsia" w:ascii="仿宋_GB2312" w:hAnsi="仿宋_GB2312" w:eastAsia="仿宋_GB2312" w:cs="仿宋_GB2312"/>
          <w:spacing w:val="-20"/>
          <w:sz w:val="32"/>
          <w:szCs w:val="32"/>
          <w:u w:val="single"/>
        </w:rPr>
        <w:t xml:space="preserve"> </w:t>
      </w:r>
      <w:r>
        <w:rPr>
          <w:rFonts w:hint="eastAsia" w:ascii="仿宋_GB2312" w:hAnsi="仿宋_GB2312" w:eastAsia="仿宋_GB2312" w:cs="仿宋_GB2312"/>
          <w:spacing w:val="-20"/>
          <w:sz w:val="32"/>
          <w:szCs w:val="32"/>
        </w:rPr>
        <w:t>万元，占</w:t>
      </w:r>
      <w:r>
        <w:rPr>
          <w:rFonts w:hint="eastAsia" w:ascii="仿宋_GB2312" w:hAnsi="仿宋_GB2312" w:eastAsia="仿宋_GB2312" w:cs="仿宋_GB2312"/>
          <w:spacing w:val="-20"/>
          <w:sz w:val="32"/>
          <w:szCs w:val="32"/>
          <w:u w:val="single"/>
        </w:rPr>
        <w:t xml:space="preserve"> </w:t>
      </w:r>
      <w:r>
        <w:rPr>
          <w:rFonts w:hint="eastAsia" w:ascii="仿宋_GB2312" w:hAnsi="仿宋_GB2312" w:eastAsia="仿宋_GB2312" w:cs="仿宋_GB2312"/>
          <w:spacing w:val="-20"/>
          <w:sz w:val="32"/>
          <w:szCs w:val="32"/>
          <w:u w:val="single"/>
          <w:lang w:val="en-US" w:eastAsia="zh-CN"/>
        </w:rPr>
        <w:t>0</w:t>
      </w:r>
      <w:r>
        <w:rPr>
          <w:rFonts w:hint="eastAsia" w:ascii="仿宋_GB2312" w:hAnsi="仿宋_GB2312" w:eastAsia="仿宋_GB2312" w:cs="仿宋_GB2312"/>
          <w:spacing w:val="-20"/>
          <w:sz w:val="32"/>
          <w:szCs w:val="32"/>
          <w:u w:val="single"/>
        </w:rPr>
        <w:t xml:space="preserve"> </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rPr>
        <w:t>其他事业收入</w:t>
      </w:r>
      <w:r>
        <w:rPr>
          <w:rFonts w:hint="eastAsia" w:ascii="仿宋_GB2312" w:hAnsi="仿宋_GB2312" w:eastAsia="仿宋_GB2312" w:cs="仿宋_GB2312"/>
          <w:spacing w:val="-20"/>
          <w:sz w:val="32"/>
          <w:szCs w:val="32"/>
          <w:u w:val="single"/>
        </w:rPr>
        <w:t xml:space="preserve"> </w:t>
      </w:r>
      <w:r>
        <w:rPr>
          <w:rFonts w:hint="eastAsia" w:ascii="仿宋_GB2312" w:hAnsi="仿宋_GB2312" w:eastAsia="仿宋_GB2312" w:cs="仿宋_GB2312"/>
          <w:spacing w:val="-20"/>
          <w:sz w:val="32"/>
          <w:szCs w:val="32"/>
          <w:u w:val="single"/>
          <w:lang w:val="en-US" w:eastAsia="zh-CN"/>
        </w:rPr>
        <w:t>0</w:t>
      </w:r>
      <w:r>
        <w:rPr>
          <w:rFonts w:hint="eastAsia" w:ascii="仿宋_GB2312" w:hAnsi="仿宋_GB2312" w:eastAsia="仿宋_GB2312" w:cs="仿宋_GB2312"/>
          <w:spacing w:val="-20"/>
          <w:sz w:val="32"/>
          <w:szCs w:val="32"/>
          <w:u w:val="single"/>
        </w:rPr>
        <w:t xml:space="preserve"> </w:t>
      </w:r>
      <w:r>
        <w:rPr>
          <w:rFonts w:hint="eastAsia" w:ascii="仿宋_GB2312" w:hAnsi="仿宋_GB2312" w:eastAsia="仿宋_GB2312" w:cs="仿宋_GB2312"/>
          <w:spacing w:val="-20"/>
          <w:sz w:val="32"/>
          <w:szCs w:val="32"/>
        </w:rPr>
        <w:t>万元，占</w:t>
      </w:r>
      <w:r>
        <w:rPr>
          <w:rFonts w:hint="eastAsia" w:ascii="仿宋_GB2312" w:hAnsi="仿宋_GB2312" w:eastAsia="仿宋_GB2312" w:cs="仿宋_GB2312"/>
          <w:spacing w:val="-20"/>
          <w:sz w:val="32"/>
          <w:szCs w:val="32"/>
          <w:u w:val="single"/>
        </w:rPr>
        <w:t xml:space="preserve"> </w:t>
      </w:r>
      <w:r>
        <w:rPr>
          <w:rFonts w:hint="eastAsia" w:ascii="仿宋_GB2312" w:hAnsi="仿宋_GB2312" w:eastAsia="仿宋_GB2312" w:cs="仿宋_GB2312"/>
          <w:spacing w:val="-20"/>
          <w:sz w:val="32"/>
          <w:szCs w:val="32"/>
          <w:u w:val="single"/>
          <w:lang w:val="en-US" w:eastAsia="zh-CN"/>
        </w:rPr>
        <w:t>0</w:t>
      </w:r>
      <w:r>
        <w:rPr>
          <w:rFonts w:hint="eastAsia" w:ascii="仿宋_GB2312" w:hAnsi="仿宋_GB2312" w:eastAsia="仿宋_GB2312" w:cs="仿宋_GB2312"/>
          <w:spacing w:val="-20"/>
          <w:sz w:val="32"/>
          <w:szCs w:val="32"/>
          <w:u w:val="single"/>
        </w:rPr>
        <w:t xml:space="preserve"> </w:t>
      </w:r>
      <w:r>
        <w:rPr>
          <w:rFonts w:hint="eastAsia" w:ascii="仿宋_GB2312" w:hAnsi="仿宋_GB2312" w:eastAsia="仿宋_GB2312" w:cs="仿宋_GB2312"/>
          <w:spacing w:val="-20"/>
          <w:sz w:val="32"/>
          <w:szCs w:val="32"/>
        </w:rPr>
        <w:t>%；经营收入</w:t>
      </w:r>
      <w:r>
        <w:rPr>
          <w:rFonts w:hint="eastAsia" w:ascii="仿宋_GB2312" w:hAnsi="仿宋_GB2312" w:eastAsia="仿宋_GB2312" w:cs="仿宋_GB2312"/>
          <w:spacing w:val="-20"/>
          <w:sz w:val="32"/>
          <w:szCs w:val="32"/>
          <w:u w:val="single"/>
        </w:rPr>
        <w:t xml:space="preserve"> </w:t>
      </w:r>
      <w:r>
        <w:rPr>
          <w:rFonts w:hint="eastAsia" w:ascii="仿宋_GB2312" w:hAnsi="仿宋_GB2312" w:eastAsia="仿宋_GB2312" w:cs="仿宋_GB2312"/>
          <w:spacing w:val="-20"/>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5CDF3BD">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黑体" w:hAnsi="黑体" w:eastAsia="黑体" w:cs="黑体"/>
          <w:sz w:val="32"/>
          <w:szCs w:val="32"/>
        </w:rPr>
      </w:pPr>
      <w:bookmarkStart w:id="6" w:name="_Toc78784573"/>
      <w:r>
        <w:rPr>
          <w:rFonts w:hint="eastAsia" w:ascii="黑体" w:hAnsi="黑体" w:eastAsia="黑体" w:cs="黑体"/>
          <w:sz w:val="32"/>
          <w:szCs w:val="32"/>
        </w:rPr>
        <w:t>三、</w:t>
      </w:r>
      <w:bookmarkEnd w:id="6"/>
      <w:r>
        <w:rPr>
          <w:rFonts w:hint="eastAsia" w:ascii="黑体" w:hAnsi="黑体" w:eastAsia="黑体" w:cs="黑体"/>
          <w:sz w:val="32"/>
          <w:szCs w:val="32"/>
        </w:rPr>
        <w:t>关于</w:t>
      </w:r>
      <w:r>
        <w:rPr>
          <w:rFonts w:hint="eastAsia" w:ascii="黑体" w:hAnsi="黑体" w:eastAsia="黑体" w:cs="黑体"/>
          <w:sz w:val="32"/>
          <w:szCs w:val="32"/>
          <w:lang w:eastAsia="zh-CN"/>
        </w:rPr>
        <w:t>2026年</w:t>
      </w:r>
      <w:r>
        <w:rPr>
          <w:rFonts w:hint="eastAsia" w:ascii="黑体" w:hAnsi="黑体" w:eastAsia="黑体" w:cs="黑体"/>
          <w:sz w:val="32"/>
          <w:szCs w:val="32"/>
        </w:rPr>
        <w:t>支出预算总表的说明</w:t>
      </w:r>
    </w:p>
    <w:p w14:paraId="0389C903">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支出预算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233,607.45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rPr>
        <w:t>预算相比增加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30,622.19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产业扶持专项支出预算增加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。其中：基本支出</w:t>
      </w:r>
      <w:r>
        <w:rPr>
          <w:rFonts w:hint="eastAsia" w:ascii="仿宋_GB2312" w:hAnsi="仿宋_GB2312" w:eastAsia="仿宋_GB2312" w:cs="仿宋_GB2312"/>
          <w:sz w:val="32"/>
          <w:szCs w:val="32"/>
          <w:u w:val="single"/>
          <w:lang w:val="en-US" w:eastAsia="zh-CN"/>
        </w:rPr>
        <w:t>1,312.77</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0.56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232,294.68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99.44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538CE65F">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黑体" w:hAnsi="黑体" w:eastAsia="黑体" w:cs="黑体"/>
          <w:sz w:val="32"/>
          <w:szCs w:val="32"/>
        </w:rPr>
      </w:pPr>
      <w:bookmarkStart w:id="7" w:name="_Toc78784574"/>
      <w:r>
        <w:rPr>
          <w:rFonts w:hint="eastAsia" w:ascii="黑体" w:hAnsi="黑体" w:eastAsia="黑体" w:cs="黑体"/>
          <w:sz w:val="32"/>
          <w:szCs w:val="32"/>
        </w:rPr>
        <w:t>四、</w:t>
      </w:r>
      <w:bookmarkEnd w:id="7"/>
      <w:r>
        <w:rPr>
          <w:rFonts w:hint="eastAsia" w:ascii="黑体" w:hAnsi="黑体" w:eastAsia="黑体" w:cs="黑体"/>
          <w:sz w:val="32"/>
          <w:szCs w:val="32"/>
        </w:rPr>
        <w:t>关于</w:t>
      </w:r>
      <w:r>
        <w:rPr>
          <w:rFonts w:hint="eastAsia" w:ascii="黑体" w:hAnsi="黑体" w:eastAsia="黑体" w:cs="黑体"/>
          <w:sz w:val="32"/>
          <w:szCs w:val="32"/>
          <w:lang w:eastAsia="zh-CN"/>
        </w:rPr>
        <w:t>2026年</w:t>
      </w:r>
      <w:r>
        <w:rPr>
          <w:rFonts w:hint="eastAsia" w:ascii="黑体" w:hAnsi="黑体" w:eastAsia="黑体" w:cs="黑体"/>
          <w:sz w:val="32"/>
          <w:szCs w:val="32"/>
        </w:rPr>
        <w:t>财政拨款收支预算总表的说明</w:t>
      </w:r>
    </w:p>
    <w:p w14:paraId="75FF7ED7">
      <w:pPr>
        <w:keepNext w:val="0"/>
        <w:keepLines w:val="0"/>
        <w:pageBreakBefore w:val="0"/>
        <w:widowControl w:val="0"/>
        <w:overflowPunct/>
        <w:topLinePunct w:val="0"/>
        <w:autoSpaceDE/>
        <w:autoSpaceDN/>
        <w:bidi w:val="0"/>
        <w:adjustRightInd w:val="0"/>
        <w:snapToGrid/>
        <w:spacing w:line="600" w:lineRule="exact"/>
        <w:ind w:firstLine="640" w:firstLineChars="200"/>
        <w:jc w:val="both"/>
        <w:textAlignment w:val="baseline"/>
        <w:rPr>
          <w:rFonts w:eastAsia="仿宋_GB2312"/>
          <w:sz w:val="32"/>
          <w:szCs w:val="32"/>
        </w:rPr>
      </w:pP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财政拨款收入预算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233,607.45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rPr>
        <w:t>预算相比增加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30,622.19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产业扶持专项财政拨款收入预算增加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。收入包括：一般公共预算拨款收入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233,607.45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万元、政府性基金预算拨款收入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万元、国有资本经营预算拨款收入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万元、上年财政结转和结余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财政拨款支出预算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233,607.45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rPr>
        <w:t>预算相比增加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30,622.19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产业扶持专项财政拨款支出预算增加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。支出包括：</w:t>
      </w:r>
      <w:r>
        <w:rPr>
          <w:rFonts w:hint="eastAsia" w:ascii="仿宋_GB2312" w:hAnsi="Times New Roman" w:eastAsia="仿宋_GB2312"/>
          <w:sz w:val="32"/>
          <w:szCs w:val="32"/>
        </w:rPr>
        <w:t>一般公共服务支出</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1</w:t>
      </w:r>
      <w:r>
        <w:rPr>
          <w:rFonts w:hint="eastAsia" w:ascii="仿宋_GB2312" w:hAnsi="Times New Roman" w:eastAsia="仿宋_GB2312"/>
          <w:sz w:val="32"/>
          <w:szCs w:val="32"/>
          <w:u w:val="single"/>
          <w:lang w:val="en-US" w:eastAsia="zh-CN"/>
        </w:rPr>
        <w:t>,545</w:t>
      </w:r>
      <w:r>
        <w:rPr>
          <w:rFonts w:hint="eastAsia" w:ascii="仿宋_GB2312" w:hAnsi="Times New Roman" w:eastAsia="仿宋_GB2312"/>
          <w:sz w:val="32"/>
          <w:szCs w:val="32"/>
          <w:u w:val="single"/>
        </w:rPr>
        <w:t>.</w:t>
      </w:r>
      <w:r>
        <w:rPr>
          <w:rFonts w:hint="eastAsia" w:ascii="仿宋_GB2312" w:hAnsi="Times New Roman" w:eastAsia="仿宋_GB2312"/>
          <w:sz w:val="32"/>
          <w:szCs w:val="32"/>
          <w:u w:val="single"/>
          <w:lang w:val="en-US" w:eastAsia="zh-CN"/>
        </w:rPr>
        <w:t>45</w:t>
      </w:r>
      <w:r>
        <w:rPr>
          <w:rFonts w:ascii="仿宋_GB2312" w:hAnsi="Times New Roman" w:eastAsia="仿宋_GB2312"/>
          <w:sz w:val="32"/>
          <w:szCs w:val="32"/>
          <w:u w:val="single"/>
        </w:rPr>
        <w:t xml:space="preserve"> </w:t>
      </w:r>
      <w:r>
        <w:rPr>
          <w:rFonts w:ascii="仿宋_GB2312" w:hAnsi="Times New Roman" w:eastAsia="仿宋_GB2312"/>
          <w:sz w:val="32"/>
          <w:szCs w:val="32"/>
        </w:rPr>
        <w:t>万元</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科学技术支出</w:t>
      </w:r>
      <w:r>
        <w:rPr>
          <w:rFonts w:hint="eastAsia" w:ascii="仿宋_GB2312" w:hAnsi="Times New Roman" w:eastAsia="仿宋_GB2312"/>
          <w:sz w:val="32"/>
          <w:szCs w:val="32"/>
          <w:u w:val="single"/>
          <w:lang w:val="en-US" w:eastAsia="zh-CN"/>
        </w:rPr>
        <w:t xml:space="preserve"> 1,124 </w:t>
      </w:r>
      <w:r>
        <w:rPr>
          <w:rFonts w:hint="eastAsia" w:ascii="仿宋_GB2312" w:hAnsi="Times New Roman" w:eastAsia="仿宋_GB2312"/>
          <w:sz w:val="32"/>
          <w:szCs w:val="32"/>
          <w:u w:val="none"/>
          <w:lang w:val="en-US" w:eastAsia="zh-CN"/>
        </w:rPr>
        <w:t>万元、节能环保支出</w:t>
      </w:r>
      <w:r>
        <w:rPr>
          <w:rFonts w:hint="eastAsia" w:ascii="仿宋_GB2312" w:hAnsi="Times New Roman" w:eastAsia="仿宋_GB2312"/>
          <w:sz w:val="32"/>
          <w:szCs w:val="32"/>
          <w:u w:val="single"/>
          <w:lang w:val="en-US" w:eastAsia="zh-CN"/>
        </w:rPr>
        <w:t xml:space="preserve"> 4,529 </w:t>
      </w:r>
      <w:r>
        <w:rPr>
          <w:rFonts w:hint="eastAsia" w:ascii="仿宋_GB2312" w:hAnsi="Times New Roman" w:eastAsia="仿宋_GB2312"/>
          <w:sz w:val="32"/>
          <w:szCs w:val="32"/>
          <w:u w:val="none"/>
          <w:lang w:val="en-US" w:eastAsia="zh-CN"/>
        </w:rPr>
        <w:t>万元、资源勘探工业信息等支出</w:t>
      </w:r>
      <w:r>
        <w:rPr>
          <w:rFonts w:hint="eastAsia" w:ascii="仿宋_GB2312" w:hAnsi="Times New Roman" w:eastAsia="仿宋_GB2312"/>
          <w:sz w:val="32"/>
          <w:szCs w:val="32"/>
          <w:u w:val="single"/>
          <w:lang w:val="en-US" w:eastAsia="zh-CN"/>
        </w:rPr>
        <w:t xml:space="preserve"> 9,144 </w:t>
      </w:r>
      <w:r>
        <w:rPr>
          <w:rFonts w:hint="eastAsia" w:ascii="仿宋_GB2312" w:hAnsi="Times New Roman" w:eastAsia="仿宋_GB2312"/>
          <w:sz w:val="32"/>
          <w:szCs w:val="32"/>
          <w:u w:val="none"/>
          <w:lang w:val="en-US" w:eastAsia="zh-CN"/>
        </w:rPr>
        <w:t>万元、商业服务业等支出</w:t>
      </w:r>
      <w:r>
        <w:rPr>
          <w:rFonts w:hint="eastAsia" w:ascii="仿宋_GB2312" w:hAnsi="Times New Roman" w:eastAsia="仿宋_GB2312"/>
          <w:sz w:val="32"/>
          <w:szCs w:val="32"/>
          <w:u w:val="single"/>
          <w:lang w:val="en-US" w:eastAsia="zh-CN"/>
        </w:rPr>
        <w:t xml:space="preserve"> 216,190 </w:t>
      </w:r>
      <w:r>
        <w:rPr>
          <w:rFonts w:hint="eastAsia" w:ascii="仿宋_GB2312" w:hAnsi="Times New Roman" w:eastAsia="仿宋_GB2312"/>
          <w:sz w:val="32"/>
          <w:szCs w:val="32"/>
          <w:u w:val="none"/>
          <w:lang w:val="en-US" w:eastAsia="zh-CN"/>
        </w:rPr>
        <w:t>万元、援助其他地区支出</w:t>
      </w:r>
      <w:r>
        <w:rPr>
          <w:rFonts w:hint="eastAsia" w:ascii="仿宋_GB2312" w:hAnsi="Times New Roman" w:eastAsia="仿宋_GB2312"/>
          <w:sz w:val="32"/>
          <w:szCs w:val="32"/>
          <w:u w:val="single"/>
          <w:lang w:val="en-US" w:eastAsia="zh-CN"/>
        </w:rPr>
        <w:t xml:space="preserve"> 1,025 </w:t>
      </w:r>
      <w:r>
        <w:rPr>
          <w:rFonts w:hint="eastAsia" w:ascii="仿宋_GB2312" w:hAnsi="Times New Roman" w:eastAsia="仿宋_GB2312"/>
          <w:sz w:val="32"/>
          <w:szCs w:val="32"/>
          <w:u w:val="none"/>
          <w:lang w:val="en-US" w:eastAsia="zh-CN"/>
        </w:rPr>
        <w:t>万元、灾害防治及应急管理支出</w:t>
      </w:r>
      <w:r>
        <w:rPr>
          <w:rFonts w:hint="eastAsia" w:ascii="仿宋_GB2312" w:hAnsi="Times New Roman" w:eastAsia="仿宋_GB2312"/>
          <w:sz w:val="32"/>
          <w:szCs w:val="32"/>
          <w:u w:val="single"/>
          <w:lang w:val="en-US" w:eastAsia="zh-CN"/>
        </w:rPr>
        <w:t xml:space="preserve"> 50 </w:t>
      </w:r>
      <w:r>
        <w:rPr>
          <w:rFonts w:hint="eastAsia" w:ascii="仿宋_GB2312" w:hAnsi="Times New Roman" w:eastAsia="仿宋_GB2312"/>
          <w:sz w:val="32"/>
          <w:szCs w:val="32"/>
          <w:u w:val="none"/>
          <w:lang w:val="en-US" w:eastAsia="zh-CN"/>
        </w:rPr>
        <w:t>万元</w:t>
      </w:r>
      <w:r>
        <w:rPr>
          <w:rFonts w:hint="eastAsia" w:ascii="仿宋_GB2312" w:hAnsi="Times New Roman" w:eastAsia="仿宋_GB2312"/>
          <w:sz w:val="32"/>
          <w:szCs w:val="32"/>
        </w:rPr>
        <w:t>。</w:t>
      </w:r>
    </w:p>
    <w:p w14:paraId="55AF9664">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黑体" w:hAnsi="黑体" w:eastAsia="黑体" w:cs="黑体"/>
          <w:sz w:val="32"/>
          <w:szCs w:val="32"/>
        </w:rPr>
      </w:pPr>
      <w:bookmarkStart w:id="8" w:name="_Toc78784575"/>
      <w:r>
        <w:rPr>
          <w:rFonts w:hint="eastAsia" w:ascii="黑体" w:hAnsi="黑体" w:eastAsia="黑体" w:cs="黑体"/>
          <w:sz w:val="32"/>
          <w:szCs w:val="32"/>
        </w:rPr>
        <w:t>五、</w:t>
      </w:r>
      <w:bookmarkEnd w:id="8"/>
      <w:r>
        <w:rPr>
          <w:rFonts w:hint="eastAsia" w:ascii="黑体" w:hAnsi="黑体" w:eastAsia="黑体" w:cs="黑体"/>
          <w:sz w:val="32"/>
          <w:szCs w:val="32"/>
        </w:rPr>
        <w:t>关于</w:t>
      </w:r>
      <w:r>
        <w:rPr>
          <w:rFonts w:hint="eastAsia" w:ascii="黑体" w:hAnsi="黑体" w:eastAsia="黑体" w:cs="黑体"/>
          <w:sz w:val="32"/>
          <w:szCs w:val="32"/>
          <w:lang w:eastAsia="zh-CN"/>
        </w:rPr>
        <w:t>2026年</w:t>
      </w:r>
      <w:r>
        <w:rPr>
          <w:rFonts w:hint="eastAsia" w:ascii="黑体" w:hAnsi="黑体" w:eastAsia="黑体" w:cs="黑体"/>
          <w:sz w:val="32"/>
          <w:szCs w:val="32"/>
        </w:rPr>
        <w:t>财政拨款一般公共预算支出预算表的说明</w:t>
      </w:r>
    </w:p>
    <w:p w14:paraId="547B7241">
      <w:pPr>
        <w:keepNext w:val="0"/>
        <w:keepLines w:val="0"/>
        <w:pageBreakBefore w:val="0"/>
        <w:widowControl w:val="0"/>
        <w:kinsoku/>
        <w:wordWrap/>
        <w:overflowPunct/>
        <w:topLinePunct w:val="0"/>
        <w:autoSpaceDE/>
        <w:autoSpaceDN/>
        <w:bidi w:val="0"/>
        <w:adjustRightInd w:val="0"/>
        <w:snapToGrid/>
        <w:spacing w:line="600" w:lineRule="exact"/>
        <w:ind w:left="0" w:leftChars="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14:paraId="6708A014">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部</w:t>
      </w:r>
      <w:r>
        <w:rPr>
          <w:rFonts w:hint="eastAsia" w:ascii="仿宋_GB2312" w:hAnsi="仿宋_GB2312" w:eastAsia="仿宋_GB2312" w:cs="仿宋_GB2312"/>
          <w:sz w:val="32"/>
          <w:szCs w:val="32"/>
        </w:rPr>
        <w:t>门</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一般公共预算支出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233,607.45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rPr>
        <w:t>预算相比增加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30,622.19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万</w:t>
      </w:r>
      <w:r>
        <w:rPr>
          <w:rFonts w:hint="eastAsia" w:ascii="仿宋_GB2312" w:hAnsi="仿宋_GB2312" w:eastAsia="仿宋_GB2312" w:cs="仿宋_GB2312"/>
          <w:sz w:val="32"/>
          <w:szCs w:val="32"/>
        </w:rPr>
        <w:t>元，主要原因是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产业扶持专项支出预算增加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B88B54B">
      <w:pPr>
        <w:keepNext w:val="0"/>
        <w:keepLines w:val="0"/>
        <w:pageBreakBefore w:val="0"/>
        <w:widowControl w:val="0"/>
        <w:kinsoku/>
        <w:wordWrap/>
        <w:overflowPunct/>
        <w:topLinePunct w:val="0"/>
        <w:autoSpaceDE/>
        <w:autoSpaceDN/>
        <w:bidi w:val="0"/>
        <w:adjustRightInd w:val="0"/>
        <w:snapToGrid/>
        <w:spacing w:line="600" w:lineRule="exact"/>
        <w:ind w:left="0" w:leftChars="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（二）具体情况</w:t>
      </w:r>
    </w:p>
    <w:p w14:paraId="650F5E48">
      <w:pPr>
        <w:keepNext w:val="0"/>
        <w:keepLines w:val="0"/>
        <w:pageBreakBefore w:val="0"/>
        <w:widowControl w:val="0"/>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1.一般公共服务支出</w:t>
      </w:r>
      <w:r>
        <w:rPr>
          <w:rFonts w:hint="eastAsia" w:ascii="仿宋_GB2312" w:hAnsi="仿宋_GB2312" w:eastAsia="仿宋_GB2312" w:cs="仿宋_GB2312"/>
          <w:sz w:val="32"/>
          <w:szCs w:val="32"/>
          <w:u w:val="single"/>
          <w:lang w:val="en-US" w:eastAsia="zh-CN"/>
        </w:rPr>
        <w:t xml:space="preserve"> </w:t>
      </w:r>
      <w:r>
        <w:rPr>
          <w:rFonts w:ascii="仿宋_GB2312" w:hAnsi="仿宋_GB2312" w:eastAsia="仿宋_GB2312" w:cs="仿宋_GB2312"/>
          <w:sz w:val="32"/>
          <w:szCs w:val="32"/>
          <w:u w:val="single"/>
        </w:rPr>
        <w:t>1</w:t>
      </w:r>
      <w:r>
        <w:rPr>
          <w:rFonts w:hint="eastAsia" w:ascii="仿宋_GB2312" w:hAnsi="仿宋_GB2312" w:eastAsia="仿宋_GB2312" w:cs="仿宋_GB2312"/>
          <w:sz w:val="32"/>
          <w:szCs w:val="32"/>
          <w:u w:val="single"/>
          <w:lang w:val="en-US" w:eastAsia="zh-CN"/>
        </w:rPr>
        <w:t>,545.45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年预算相比</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453.26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万</w:t>
      </w:r>
      <w:r>
        <w:rPr>
          <w:rFonts w:hint="eastAsia" w:ascii="仿宋_GB2312" w:hAnsi="仿宋_GB2312" w:eastAsia="仿宋_GB2312" w:cs="仿宋_GB2312"/>
          <w:sz w:val="32"/>
          <w:szCs w:val="32"/>
        </w:rPr>
        <w:t>元，主要原因是</w:t>
      </w:r>
      <w:r>
        <w:rPr>
          <w:rFonts w:hint="eastAsia" w:ascii="仿宋_GB2312" w:hAnsi="仿宋_GB2312" w:eastAsia="仿宋_GB2312" w:cs="仿宋_GB2312"/>
          <w:sz w:val="32"/>
          <w:szCs w:val="32"/>
          <w:u w:val="single"/>
        </w:rPr>
        <w:t xml:space="preserve"> 专项支出预算</w:t>
      </w:r>
      <w:r>
        <w:rPr>
          <w:rFonts w:hint="eastAsia" w:ascii="仿宋_GB2312" w:hAnsi="仿宋_GB2312" w:eastAsia="仿宋_GB2312" w:cs="仿宋_GB2312"/>
          <w:sz w:val="32"/>
          <w:szCs w:val="32"/>
          <w:u w:val="single"/>
          <w:lang w:val="en-US" w:eastAsia="zh-CN"/>
        </w:rPr>
        <w:t>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，其中：</w:t>
      </w:r>
    </w:p>
    <w:p w14:paraId="5C945A79">
      <w:pPr>
        <w:keepNext w:val="0"/>
        <w:keepLines w:val="0"/>
        <w:pageBreakBefore w:val="0"/>
        <w:widowControl w:val="0"/>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发展与改革事务</w:t>
      </w:r>
      <w:r>
        <w:rPr>
          <w:rFonts w:ascii="仿宋_GB2312" w:hAnsi="仿宋_GB2312" w:eastAsia="仿宋_GB2312" w:cs="仿宋_GB2312"/>
          <w:sz w:val="32"/>
          <w:szCs w:val="32"/>
          <w:u w:val="single"/>
        </w:rPr>
        <w:t>1</w:t>
      </w:r>
      <w:r>
        <w:rPr>
          <w:rFonts w:hint="eastAsia" w:ascii="仿宋_GB2312" w:hAnsi="仿宋_GB2312" w:eastAsia="仿宋_GB2312" w:cs="仿宋_GB2312"/>
          <w:sz w:val="32"/>
          <w:szCs w:val="32"/>
          <w:u w:val="single"/>
          <w:lang w:val="en-US" w:eastAsia="zh-CN"/>
        </w:rPr>
        <w:t>,532.45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万元，包括：行政运行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1,312.77</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u w:val="single"/>
        </w:rPr>
        <w:t xml:space="preserve"> 本单位</w:t>
      </w:r>
      <w:r>
        <w:rPr>
          <w:rFonts w:hint="eastAsia" w:ascii="仿宋_GB2312" w:hAnsi="仿宋_GB2312" w:eastAsia="仿宋_GB2312" w:cs="仿宋_GB2312"/>
          <w:sz w:val="32"/>
          <w:szCs w:val="32"/>
          <w:u w:val="single"/>
          <w:lang w:val="en-US" w:eastAsia="zh-CN"/>
        </w:rPr>
        <w:t>基本</w:t>
      </w:r>
      <w:r>
        <w:rPr>
          <w:rFonts w:hint="eastAsia" w:ascii="仿宋_GB2312" w:hAnsi="仿宋_GB2312" w:eastAsia="仿宋_GB2312" w:cs="仿宋_GB2312"/>
          <w:sz w:val="32"/>
          <w:szCs w:val="32"/>
          <w:u w:val="single"/>
        </w:rPr>
        <w:t xml:space="preserve">支出 </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一般行政管理事务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219.68</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u w:val="single"/>
        </w:rPr>
        <w:t xml:space="preserve"> 专业第三方服务经费支出 </w:t>
      </w:r>
      <w:r>
        <w:rPr>
          <w:rFonts w:hint="eastAsia" w:ascii="仿宋_GB2312" w:hAnsi="仿宋_GB2312" w:eastAsia="仿宋_GB2312" w:cs="仿宋_GB2312"/>
          <w:sz w:val="32"/>
          <w:szCs w:val="32"/>
        </w:rPr>
        <w:t>；</w:t>
      </w:r>
    </w:p>
    <w:p w14:paraId="68A6C039">
      <w:pPr>
        <w:keepNext w:val="0"/>
        <w:keepLines w:val="0"/>
        <w:pageBreakBefore w:val="0"/>
        <w:widowControl w:val="0"/>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其他一般公共服务支出</w:t>
      </w:r>
      <w:r>
        <w:rPr>
          <w:rFonts w:hint="eastAsia" w:ascii="仿宋_GB2312" w:hAnsi="仿宋_GB2312" w:eastAsia="仿宋_GB2312" w:cs="仿宋_GB2312"/>
          <w:sz w:val="32"/>
          <w:szCs w:val="32"/>
          <w:u w:val="single"/>
          <w:lang w:val="en-US" w:eastAsia="zh-CN"/>
        </w:rPr>
        <w:t xml:space="preserve"> </w:t>
      </w:r>
      <w:r>
        <w:rPr>
          <w:rFonts w:ascii="仿宋_GB2312" w:hAnsi="仿宋_GB2312" w:eastAsia="仿宋_GB2312" w:cs="仿宋_GB2312"/>
          <w:sz w:val="32"/>
          <w:szCs w:val="32"/>
          <w:u w:val="single"/>
        </w:rPr>
        <w:t>1</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包括：其他一般公共服务支出</w:t>
      </w:r>
      <w:r>
        <w:rPr>
          <w:rFonts w:hint="eastAsia" w:ascii="仿宋_GB2312" w:hAnsi="仿宋_GB2312" w:eastAsia="仿宋_GB2312" w:cs="仿宋_GB2312"/>
          <w:sz w:val="32"/>
          <w:szCs w:val="32"/>
          <w:u w:val="single"/>
          <w:lang w:val="en-US" w:eastAsia="zh-CN"/>
        </w:rPr>
        <w:t xml:space="preserve"> </w:t>
      </w:r>
      <w:r>
        <w:rPr>
          <w:rFonts w:ascii="仿宋_GB2312" w:hAnsi="仿宋_GB2312" w:eastAsia="仿宋_GB2312" w:cs="仿宋_GB2312"/>
          <w:sz w:val="32"/>
          <w:szCs w:val="32"/>
          <w:u w:val="single"/>
        </w:rPr>
        <w:t>1</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上级产业扶持专项资金支出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w:t>
      </w:r>
    </w:p>
    <w:p w14:paraId="7C110666">
      <w:pPr>
        <w:keepNext w:val="0"/>
        <w:keepLines w:val="0"/>
        <w:pageBreakBefore w:val="0"/>
        <w:widowControl w:val="0"/>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lang w:val="en-US" w:eastAsia="zh-CN"/>
        </w:rPr>
        <w:t>2.科学技术支出</w:t>
      </w:r>
      <w:r>
        <w:rPr>
          <w:rFonts w:hint="eastAsia" w:ascii="仿宋_GB2312" w:hAnsi="仿宋_GB2312" w:eastAsia="仿宋_GB2312" w:cs="仿宋_GB2312"/>
          <w:sz w:val="32"/>
          <w:szCs w:val="32"/>
          <w:u w:val="single"/>
          <w:lang w:val="en-US" w:eastAsia="zh-CN"/>
        </w:rPr>
        <w:t xml:space="preserve"> 1,124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年预算相比增加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124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万</w:t>
      </w:r>
      <w:r>
        <w:rPr>
          <w:rFonts w:hint="eastAsia" w:ascii="仿宋_GB2312" w:hAnsi="仿宋_GB2312" w:eastAsia="仿宋_GB2312" w:cs="仿宋_GB2312"/>
          <w:sz w:val="32"/>
          <w:szCs w:val="32"/>
        </w:rPr>
        <w:t>元，主要原因是</w:t>
      </w:r>
      <w:r>
        <w:rPr>
          <w:rFonts w:hint="eastAsia" w:ascii="仿宋_GB2312" w:hAnsi="仿宋_GB2312" w:eastAsia="仿宋_GB2312" w:cs="仿宋_GB2312"/>
          <w:sz w:val="32"/>
          <w:szCs w:val="32"/>
          <w:u w:val="single"/>
        </w:rPr>
        <w:t xml:space="preserve"> 增加</w:t>
      </w:r>
      <w:r>
        <w:rPr>
          <w:rFonts w:hint="eastAsia" w:ascii="仿宋_GB2312" w:hAnsi="仿宋_GB2312" w:eastAsia="仿宋_GB2312" w:cs="仿宋_GB2312"/>
          <w:sz w:val="32"/>
          <w:szCs w:val="32"/>
          <w:u w:val="single"/>
          <w:lang w:val="en-US" w:eastAsia="zh-CN"/>
        </w:rPr>
        <w:t>高新技术产业扶持</w:t>
      </w:r>
      <w:r>
        <w:rPr>
          <w:rFonts w:hint="eastAsia" w:ascii="仿宋_GB2312" w:hAnsi="仿宋_GB2312" w:eastAsia="仿宋_GB2312" w:cs="仿宋_GB2312"/>
          <w:sz w:val="32"/>
          <w:szCs w:val="32"/>
          <w:u w:val="single"/>
        </w:rPr>
        <w:t xml:space="preserve">专项支出预算 </w:t>
      </w:r>
      <w:r>
        <w:rPr>
          <w:rFonts w:hint="eastAsia" w:ascii="仿宋_GB2312" w:hAnsi="仿宋_GB2312" w:eastAsia="仿宋_GB2312" w:cs="仿宋_GB2312"/>
          <w:sz w:val="32"/>
          <w:szCs w:val="32"/>
        </w:rPr>
        <w:t>，其中：</w:t>
      </w:r>
    </w:p>
    <w:p w14:paraId="6EE71874">
      <w:pPr>
        <w:keepNext w:val="0"/>
        <w:keepLines w:val="0"/>
        <w:pageBreakBefore w:val="0"/>
        <w:widowControl w:val="0"/>
        <w:numPr>
          <w:ilvl w:val="0"/>
          <w:numId w:val="0"/>
        </w:numPr>
        <w:overflowPunct/>
        <w:topLinePunct w:val="0"/>
        <w:autoSpaceDE/>
        <w:autoSpaceDN/>
        <w:bidi w:val="0"/>
        <w:adjustRightInd w:val="0"/>
        <w:snapToGrid/>
        <w:spacing w:line="600" w:lineRule="exact"/>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技术研究与开发</w:t>
      </w:r>
      <w:r>
        <w:rPr>
          <w:rFonts w:hint="eastAsia" w:ascii="仿宋_GB2312" w:hAnsi="仿宋_GB2312" w:eastAsia="仿宋_GB2312" w:cs="仿宋_GB2312"/>
          <w:sz w:val="32"/>
          <w:szCs w:val="32"/>
          <w:u w:val="single"/>
          <w:lang w:val="en-US" w:eastAsia="zh-CN"/>
        </w:rPr>
        <w:t xml:space="preserve"> </w:t>
      </w:r>
      <w:r>
        <w:rPr>
          <w:rFonts w:ascii="仿宋_GB2312" w:hAnsi="仿宋_GB2312" w:eastAsia="仿宋_GB2312" w:cs="仿宋_GB2312"/>
          <w:sz w:val="32"/>
          <w:szCs w:val="32"/>
          <w:u w:val="single"/>
        </w:rPr>
        <w:t>1</w:t>
      </w:r>
      <w:r>
        <w:rPr>
          <w:rFonts w:hint="eastAsia" w:ascii="仿宋_GB2312" w:hAnsi="仿宋_GB2312" w:eastAsia="仿宋_GB2312" w:cs="仿宋_GB2312"/>
          <w:sz w:val="32"/>
          <w:szCs w:val="32"/>
          <w:u w:val="single"/>
          <w:lang w:val="en-US" w:eastAsia="zh-CN"/>
        </w:rPr>
        <w:t>,124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万元，包括：其他技术研究与开发支出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1,124</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产业扶持</w:t>
      </w:r>
      <w:r>
        <w:rPr>
          <w:rFonts w:hint="eastAsia" w:ascii="仿宋_GB2312" w:hAnsi="仿宋_GB2312" w:eastAsia="仿宋_GB2312" w:cs="仿宋_GB2312"/>
          <w:sz w:val="32"/>
          <w:szCs w:val="32"/>
          <w:u w:val="single"/>
        </w:rPr>
        <w:t>专项</w:t>
      </w:r>
      <w:r>
        <w:rPr>
          <w:rFonts w:hint="eastAsia" w:ascii="仿宋_GB2312" w:hAnsi="仿宋_GB2312" w:eastAsia="仿宋_GB2312" w:cs="仿宋_GB2312"/>
          <w:sz w:val="32"/>
          <w:szCs w:val="32"/>
          <w:u w:val="single"/>
          <w:lang w:val="en-US" w:eastAsia="zh-CN"/>
        </w:rPr>
        <w:t>资金</w:t>
      </w:r>
      <w:r>
        <w:rPr>
          <w:rFonts w:hint="eastAsia" w:ascii="仿宋_GB2312" w:hAnsi="仿宋_GB2312" w:eastAsia="仿宋_GB2312" w:cs="仿宋_GB2312"/>
          <w:sz w:val="32"/>
          <w:szCs w:val="32"/>
          <w:u w:val="single"/>
        </w:rPr>
        <w:t xml:space="preserve">支出  </w:t>
      </w:r>
      <w:r>
        <w:rPr>
          <w:rFonts w:hint="eastAsia" w:ascii="仿宋_GB2312" w:hAnsi="仿宋_GB2312" w:eastAsia="仿宋_GB2312" w:cs="仿宋_GB2312"/>
          <w:sz w:val="32"/>
          <w:szCs w:val="32"/>
        </w:rPr>
        <w:t>；</w:t>
      </w:r>
    </w:p>
    <w:p w14:paraId="35232D0F">
      <w:pPr>
        <w:keepNext w:val="0"/>
        <w:keepLines w:val="0"/>
        <w:pageBreakBefore w:val="0"/>
        <w:widowControl w:val="0"/>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节能环保支出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4,529</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年预算相比</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u w:val="single"/>
          <w:lang w:val="en-US" w:eastAsia="zh-CN"/>
        </w:rPr>
        <w:t xml:space="preserve">2,625.9 </w:t>
      </w:r>
      <w:r>
        <w:rPr>
          <w:rFonts w:hint="eastAsia" w:ascii="仿宋_GB2312" w:hAnsi="仿宋_GB2312" w:eastAsia="仿宋_GB2312" w:cs="仿宋_GB2312"/>
          <w:sz w:val="32"/>
          <w:szCs w:val="32"/>
          <w:u w:val="none"/>
          <w:lang w:val="en-US" w:eastAsia="zh-CN"/>
        </w:rPr>
        <w:t>万</w:t>
      </w:r>
      <w:r>
        <w:rPr>
          <w:rFonts w:hint="eastAsia" w:ascii="仿宋_GB2312" w:hAnsi="仿宋_GB2312" w:eastAsia="仿宋_GB2312" w:cs="仿宋_GB2312"/>
          <w:sz w:val="32"/>
          <w:szCs w:val="32"/>
        </w:rPr>
        <w:t>元，主要原因是</w:t>
      </w:r>
      <w:r>
        <w:rPr>
          <w:rFonts w:hint="eastAsia" w:ascii="仿宋_GB2312" w:hAnsi="仿宋_GB2312" w:eastAsia="仿宋_GB2312" w:cs="仿宋_GB2312"/>
          <w:sz w:val="32"/>
          <w:szCs w:val="32"/>
          <w:u w:val="single"/>
        </w:rPr>
        <w:t xml:space="preserve"> 节能环保专项支出预算</w:t>
      </w:r>
      <w:r>
        <w:rPr>
          <w:rFonts w:hint="eastAsia" w:ascii="仿宋_GB2312" w:hAnsi="仿宋_GB2312" w:eastAsia="仿宋_GB2312" w:cs="仿宋_GB2312"/>
          <w:sz w:val="32"/>
          <w:szCs w:val="32"/>
          <w:u w:val="single"/>
          <w:lang w:val="en-US" w:eastAsia="zh-CN"/>
        </w:rPr>
        <w:t>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，其中：</w:t>
      </w:r>
    </w:p>
    <w:p w14:paraId="52AF7E15">
      <w:pPr>
        <w:keepNext w:val="0"/>
        <w:keepLines w:val="0"/>
        <w:pageBreakBefore w:val="0"/>
        <w:widowControl w:val="0"/>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能源节约利用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4,529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万元，包括：能源节约利用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4,529</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产业</w:t>
      </w:r>
      <w:r>
        <w:rPr>
          <w:rFonts w:hint="eastAsia" w:ascii="仿宋_GB2312" w:hAnsi="仿宋_GB2312" w:eastAsia="仿宋_GB2312" w:cs="仿宋_GB2312"/>
          <w:sz w:val="32"/>
          <w:szCs w:val="32"/>
          <w:u w:val="single"/>
        </w:rPr>
        <w:t xml:space="preserve">扶持专项资金支出 </w:t>
      </w:r>
      <w:r>
        <w:rPr>
          <w:rFonts w:hint="eastAsia" w:ascii="仿宋_GB2312" w:hAnsi="仿宋_GB2312" w:eastAsia="仿宋_GB2312" w:cs="仿宋_GB2312"/>
          <w:sz w:val="32"/>
          <w:szCs w:val="32"/>
        </w:rPr>
        <w:t>；</w:t>
      </w:r>
      <w:r>
        <w:rPr>
          <w:rFonts w:hint="eastAsia" w:ascii="仿宋_GB2312" w:hAnsi="仿宋_GB2312" w:eastAsia="仿宋_GB2312" w:cs="仿宋_GB2312"/>
          <w:color w:val="FF0000"/>
          <w:sz w:val="32"/>
          <w:szCs w:val="32"/>
        </w:rPr>
        <w:t xml:space="preserve"> </w:t>
      </w:r>
    </w:p>
    <w:p w14:paraId="257973B5">
      <w:pPr>
        <w:keepNext w:val="0"/>
        <w:keepLines w:val="0"/>
        <w:pageBreakBefore w:val="0"/>
        <w:widowControl w:val="0"/>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sz w:val="32"/>
          <w:szCs w:val="32"/>
        </w:rPr>
        <w:t>资源勘探工业信息等支出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9,144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年预算相比增加</w:t>
      </w:r>
      <w:r>
        <w:rPr>
          <w:rFonts w:hint="eastAsia" w:ascii="仿宋_GB2312" w:hAnsi="仿宋_GB2312" w:eastAsia="仿宋_GB2312" w:cs="仿宋_GB2312"/>
          <w:sz w:val="32"/>
          <w:szCs w:val="32"/>
          <w:u w:val="single"/>
          <w:lang w:val="en-US" w:eastAsia="zh-CN"/>
        </w:rPr>
        <w:t xml:space="preserve"> 9,144</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万</w:t>
      </w:r>
      <w:r>
        <w:rPr>
          <w:rFonts w:hint="eastAsia" w:ascii="仿宋_GB2312" w:hAnsi="仿宋_GB2312" w:eastAsia="仿宋_GB2312" w:cs="仿宋_GB2312"/>
          <w:sz w:val="32"/>
          <w:szCs w:val="32"/>
        </w:rPr>
        <w:t>元，主要原因是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上级产业扶持专项支出预算增加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，其中：</w:t>
      </w:r>
    </w:p>
    <w:p w14:paraId="7A02302A">
      <w:pPr>
        <w:keepNext w:val="0"/>
        <w:keepLines w:val="0"/>
        <w:pageBreakBefore w:val="0"/>
        <w:widowControl w:val="0"/>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lang w:val="en-US" w:eastAsia="zh-CN"/>
        </w:rPr>
        <w:t>制造业</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val="en-US" w:eastAsia="zh-CN"/>
        </w:rPr>
        <w:t>其他制造业支出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产业</w:t>
      </w:r>
      <w:r>
        <w:rPr>
          <w:rFonts w:hint="eastAsia" w:ascii="仿宋_GB2312" w:hAnsi="仿宋_GB2312" w:eastAsia="仿宋_GB2312" w:cs="仿宋_GB2312"/>
          <w:sz w:val="32"/>
          <w:szCs w:val="32"/>
          <w:u w:val="single"/>
        </w:rPr>
        <w:t xml:space="preserve">扶持专项资金支出 </w:t>
      </w:r>
      <w:r>
        <w:rPr>
          <w:rFonts w:hint="eastAsia" w:ascii="仿宋_GB2312" w:hAnsi="仿宋_GB2312" w:eastAsia="仿宋_GB2312" w:cs="仿宋_GB2312"/>
          <w:sz w:val="32"/>
          <w:szCs w:val="32"/>
        </w:rPr>
        <w:t>；</w:t>
      </w:r>
      <w:r>
        <w:rPr>
          <w:rFonts w:hint="eastAsia" w:ascii="仿宋_GB2312" w:hAnsi="仿宋_GB2312" w:eastAsia="仿宋_GB2312" w:cs="仿宋_GB2312"/>
          <w:color w:val="FF0000"/>
          <w:sz w:val="32"/>
          <w:szCs w:val="32"/>
        </w:rPr>
        <w:t xml:space="preserve"> </w:t>
      </w:r>
    </w:p>
    <w:p w14:paraId="6798AE1D">
      <w:pPr>
        <w:keepNext w:val="0"/>
        <w:keepLines w:val="0"/>
        <w:pageBreakBefore w:val="0"/>
        <w:widowControl w:val="0"/>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其他资源勘探工业信息等支出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8,800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val="en-US" w:eastAsia="zh-CN"/>
        </w:rPr>
        <w:t>技术改造支出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8,800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上级产业</w:t>
      </w:r>
      <w:r>
        <w:rPr>
          <w:rFonts w:hint="eastAsia" w:ascii="仿宋_GB2312" w:hAnsi="仿宋_GB2312" w:eastAsia="仿宋_GB2312" w:cs="仿宋_GB2312"/>
          <w:sz w:val="32"/>
          <w:szCs w:val="32"/>
          <w:u w:val="single"/>
        </w:rPr>
        <w:t xml:space="preserve">扶持专项资金支出 </w:t>
      </w:r>
      <w:r>
        <w:rPr>
          <w:rFonts w:hint="eastAsia" w:ascii="仿宋_GB2312" w:hAnsi="仿宋_GB2312" w:eastAsia="仿宋_GB2312" w:cs="仿宋_GB2312"/>
          <w:sz w:val="32"/>
          <w:szCs w:val="32"/>
        </w:rPr>
        <w:t>；</w:t>
      </w:r>
      <w:r>
        <w:rPr>
          <w:rFonts w:hint="eastAsia" w:ascii="仿宋_GB2312" w:hAnsi="仿宋_GB2312" w:eastAsia="仿宋_GB2312" w:cs="仿宋_GB2312"/>
          <w:color w:val="FF0000"/>
          <w:sz w:val="32"/>
          <w:szCs w:val="32"/>
        </w:rPr>
        <w:t xml:space="preserve"> </w:t>
      </w:r>
    </w:p>
    <w:p w14:paraId="4371DA1F">
      <w:pPr>
        <w:keepNext w:val="0"/>
        <w:keepLines w:val="0"/>
        <w:pageBreakBefore w:val="0"/>
        <w:widowControl w:val="0"/>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商业服务业等支出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216,190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年预算相比增加</w:t>
      </w:r>
      <w:r>
        <w:rPr>
          <w:rFonts w:hint="eastAsia" w:ascii="仿宋_GB2312" w:hAnsi="仿宋_GB2312" w:eastAsia="仿宋_GB2312" w:cs="仿宋_GB2312"/>
          <w:sz w:val="32"/>
          <w:szCs w:val="32"/>
          <w:u w:val="single"/>
          <w:lang w:val="en-US" w:eastAsia="zh-CN"/>
        </w:rPr>
        <w:t>19,190</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万</w:t>
      </w:r>
      <w:r>
        <w:rPr>
          <w:rFonts w:hint="eastAsia" w:ascii="仿宋_GB2312" w:hAnsi="仿宋_GB2312" w:eastAsia="仿宋_GB2312" w:cs="仿宋_GB2312"/>
          <w:sz w:val="32"/>
          <w:szCs w:val="32"/>
        </w:rPr>
        <w:t>元，主要原因是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产业扶持</w:t>
      </w:r>
      <w:r>
        <w:rPr>
          <w:rFonts w:hint="eastAsia" w:ascii="仿宋_GB2312" w:hAnsi="仿宋_GB2312" w:eastAsia="仿宋_GB2312" w:cs="仿宋_GB2312"/>
          <w:sz w:val="32"/>
          <w:szCs w:val="32"/>
          <w:u w:val="single"/>
        </w:rPr>
        <w:t xml:space="preserve">专项支出预算增加 </w:t>
      </w:r>
      <w:r>
        <w:rPr>
          <w:rFonts w:hint="eastAsia" w:ascii="仿宋_GB2312" w:hAnsi="仿宋_GB2312" w:eastAsia="仿宋_GB2312" w:cs="仿宋_GB2312"/>
          <w:sz w:val="32"/>
          <w:szCs w:val="32"/>
        </w:rPr>
        <w:t>，其中：</w:t>
      </w:r>
    </w:p>
    <w:p w14:paraId="22ADF076">
      <w:pPr>
        <w:keepNext w:val="0"/>
        <w:keepLines w:val="0"/>
        <w:pageBreakBefore w:val="0"/>
        <w:widowControl w:val="0"/>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涉外发展服务支出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216,190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万元，包括：其他涉外发展服务支出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216,190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产业</w:t>
      </w:r>
      <w:r>
        <w:rPr>
          <w:rFonts w:hint="eastAsia" w:ascii="仿宋_GB2312" w:hAnsi="仿宋_GB2312" w:eastAsia="仿宋_GB2312" w:cs="仿宋_GB2312"/>
          <w:sz w:val="32"/>
          <w:szCs w:val="32"/>
          <w:u w:val="single"/>
        </w:rPr>
        <w:t xml:space="preserve">扶持专项资金支出 </w:t>
      </w:r>
      <w:r>
        <w:rPr>
          <w:rFonts w:hint="eastAsia" w:ascii="仿宋_GB2312" w:hAnsi="仿宋_GB2312" w:eastAsia="仿宋_GB2312" w:cs="仿宋_GB2312"/>
          <w:sz w:val="32"/>
          <w:szCs w:val="32"/>
        </w:rPr>
        <w:t>；</w:t>
      </w:r>
      <w:r>
        <w:rPr>
          <w:rFonts w:hint="eastAsia" w:ascii="仿宋_GB2312" w:hAnsi="仿宋_GB2312" w:eastAsia="仿宋_GB2312" w:cs="仿宋_GB2312"/>
          <w:color w:val="FF0000"/>
          <w:sz w:val="32"/>
          <w:szCs w:val="32"/>
        </w:rPr>
        <w:t xml:space="preserve"> </w:t>
      </w:r>
    </w:p>
    <w:p w14:paraId="31AF6B57">
      <w:pPr>
        <w:keepNext w:val="0"/>
        <w:keepLines w:val="0"/>
        <w:pageBreakBefore w:val="0"/>
        <w:widowControl w:val="0"/>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6.援助其他地区支出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1,025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年预算相比增加</w:t>
      </w:r>
      <w:r>
        <w:rPr>
          <w:rFonts w:hint="eastAsia" w:ascii="仿宋_GB2312" w:hAnsi="仿宋_GB2312" w:eastAsia="仿宋_GB2312" w:cs="仿宋_GB2312"/>
          <w:sz w:val="32"/>
          <w:szCs w:val="32"/>
          <w:u w:val="single"/>
          <w:lang w:val="en-US" w:eastAsia="zh-CN"/>
        </w:rPr>
        <w:t xml:space="preserve"> 0</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万</w:t>
      </w:r>
      <w:r>
        <w:rPr>
          <w:rFonts w:hint="eastAsia" w:ascii="仿宋_GB2312" w:hAnsi="仿宋_GB2312" w:eastAsia="仿宋_GB2312" w:cs="仿宋_GB2312"/>
          <w:sz w:val="32"/>
          <w:szCs w:val="32"/>
        </w:rPr>
        <w:t>元，主要原因是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未增加预算安排</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，其中：</w:t>
      </w:r>
    </w:p>
    <w:p w14:paraId="58CAB792">
      <w:pPr>
        <w:keepNext w:val="0"/>
        <w:keepLines w:val="0"/>
        <w:pageBreakBefore w:val="0"/>
        <w:widowControl w:val="0"/>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1</w:t>
      </w:r>
      <w:r>
        <w:rPr>
          <w:rFonts w:hint="eastAsia" w:ascii="仿宋_GB2312" w:hAnsi="仿宋_GB2312" w:eastAsia="仿宋_GB2312" w:cs="仿宋_GB2312"/>
          <w:sz w:val="32"/>
          <w:szCs w:val="32"/>
          <w:u w:val="single"/>
          <w:lang w:val="en-US" w:eastAsia="zh-CN"/>
        </w:rPr>
        <w:t>,025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对口支援专项预算支出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7E065218">
      <w:pPr>
        <w:keepNext w:val="0"/>
        <w:keepLines w:val="0"/>
        <w:pageBreakBefore w:val="0"/>
        <w:widowControl w:val="0"/>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灾害防治及应急管理支出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年预算相比</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s="仿宋_GB2312"/>
          <w:sz w:val="32"/>
          <w:szCs w:val="32"/>
          <w:u w:val="single"/>
          <w:lang w:val="en-US" w:eastAsia="zh-CN"/>
        </w:rPr>
        <w:t xml:space="preserve"> 8.45</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万</w:t>
      </w:r>
      <w:r>
        <w:rPr>
          <w:rFonts w:hint="eastAsia" w:ascii="仿宋_GB2312" w:hAnsi="仿宋_GB2312" w:eastAsia="仿宋_GB2312" w:cs="仿宋_GB2312"/>
          <w:sz w:val="32"/>
          <w:szCs w:val="32"/>
        </w:rPr>
        <w:t>元，主要原因是</w:t>
      </w:r>
      <w:r>
        <w:rPr>
          <w:rFonts w:hint="eastAsia" w:ascii="仿宋_GB2312" w:hAnsi="仿宋_GB2312" w:eastAsia="仿宋_GB2312" w:cs="仿宋_GB2312"/>
          <w:sz w:val="32"/>
          <w:szCs w:val="32"/>
          <w:u w:val="single"/>
        </w:rPr>
        <w:t xml:space="preserve"> 专项支出预算</w:t>
      </w:r>
      <w:r>
        <w:rPr>
          <w:rFonts w:hint="eastAsia" w:ascii="仿宋_GB2312" w:hAnsi="仿宋_GB2312" w:eastAsia="仿宋_GB2312" w:cs="仿宋_GB2312"/>
          <w:sz w:val="32"/>
          <w:szCs w:val="32"/>
          <w:u w:val="single"/>
          <w:lang w:val="en-US" w:eastAsia="zh-CN"/>
        </w:rPr>
        <w:t>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，其中：</w:t>
      </w:r>
    </w:p>
    <w:p w14:paraId="23F1AA75">
      <w:pPr>
        <w:keepNext w:val="0"/>
        <w:keepLines w:val="0"/>
        <w:pageBreakBefore w:val="0"/>
        <w:widowControl w:val="0"/>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color w:val="FF0000"/>
          <w:sz w:val="32"/>
          <w:szCs w:val="32"/>
        </w:rPr>
      </w:pPr>
      <w:r>
        <w:rPr>
          <w:rFonts w:hint="default" w:ascii="仿宋_GB2312" w:hAnsi="仿宋_GB2312" w:eastAsia="仿宋_GB2312" w:cs="仿宋_GB2312"/>
          <w:sz w:val="32"/>
          <w:szCs w:val="32"/>
          <w:lang w:val="en-US" w:eastAsia="zh-CN"/>
        </w:rPr>
        <w:t>应急管理事务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万元，包括：安全监管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u w:val="single"/>
        </w:rPr>
        <w:t xml:space="preserve">  油气管道安全保护工作专项资金支出 </w:t>
      </w:r>
      <w:r>
        <w:rPr>
          <w:rFonts w:hint="eastAsia" w:ascii="仿宋_GB2312" w:hAnsi="仿宋_GB2312" w:eastAsia="仿宋_GB2312" w:cs="仿宋_GB2312"/>
          <w:sz w:val="32"/>
          <w:szCs w:val="32"/>
        </w:rPr>
        <w:t>；</w:t>
      </w:r>
      <w:r>
        <w:rPr>
          <w:rFonts w:hint="eastAsia" w:ascii="仿宋_GB2312" w:hAnsi="仿宋_GB2312" w:eastAsia="仿宋_GB2312" w:cs="仿宋_GB2312"/>
          <w:color w:val="FF0000"/>
          <w:sz w:val="32"/>
          <w:szCs w:val="32"/>
        </w:rPr>
        <w:t xml:space="preserve"> </w:t>
      </w:r>
    </w:p>
    <w:p w14:paraId="4BC493B2">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仿宋_GB2312" w:hAnsi="仿宋_GB2312" w:eastAsia="仿宋_GB2312" w:cs="仿宋_GB2312"/>
          <w:sz w:val="32"/>
          <w:szCs w:val="32"/>
        </w:rPr>
      </w:pPr>
      <w:bookmarkStart w:id="9" w:name="_Toc78784576"/>
      <w:r>
        <w:rPr>
          <w:rFonts w:hint="eastAsia" w:ascii="黑体" w:hAnsi="黑体" w:eastAsia="黑体" w:cs="黑体"/>
          <w:sz w:val="32"/>
          <w:szCs w:val="32"/>
        </w:rPr>
        <w:t>六、</w:t>
      </w:r>
      <w:bookmarkEnd w:id="9"/>
      <w:r>
        <w:rPr>
          <w:rFonts w:hint="eastAsia" w:ascii="黑体" w:hAnsi="黑体" w:eastAsia="黑体" w:cs="黑体"/>
          <w:sz w:val="32"/>
          <w:szCs w:val="32"/>
        </w:rPr>
        <w:t>关于</w:t>
      </w:r>
      <w:r>
        <w:rPr>
          <w:rFonts w:hint="eastAsia" w:ascii="黑体" w:hAnsi="黑体" w:eastAsia="黑体" w:cs="黑体"/>
          <w:sz w:val="32"/>
          <w:szCs w:val="32"/>
          <w:lang w:eastAsia="zh-CN"/>
        </w:rPr>
        <w:t>2026年</w:t>
      </w:r>
      <w:r>
        <w:rPr>
          <w:rFonts w:hint="eastAsia" w:ascii="黑体" w:hAnsi="黑体" w:eastAsia="黑体" w:cs="黑体"/>
          <w:sz w:val="32"/>
          <w:szCs w:val="32"/>
        </w:rPr>
        <w:t>财政拨款一般公共预算基本支出预算表的说明</w:t>
      </w:r>
    </w:p>
    <w:p w14:paraId="32C18513">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部门一般公共预算基本支出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1,312.77</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rPr>
        <w:t>预算相比减少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28.94</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工作人员较2025年减少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。其中：</w:t>
      </w:r>
    </w:p>
    <w:p w14:paraId="22C61991">
      <w:pPr>
        <w:keepNext w:val="0"/>
        <w:keepLines w:val="0"/>
        <w:pageBreakBefore w:val="0"/>
        <w:widowControl w:val="0"/>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color w:val="FF0000"/>
          <w:sz w:val="32"/>
          <w:szCs w:val="32"/>
        </w:rPr>
      </w:pPr>
      <w:bookmarkStart w:id="10" w:name="_Toc78784577"/>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u w:val="single"/>
        </w:rPr>
        <w:t xml:space="preserve"> 1</w:t>
      </w:r>
      <w:r>
        <w:rPr>
          <w:rFonts w:hint="eastAsia" w:ascii="仿宋_GB2312" w:hAnsi="仿宋_GB2312" w:eastAsia="仿宋_GB2312" w:cs="仿宋_GB2312"/>
          <w:sz w:val="32"/>
          <w:szCs w:val="32"/>
          <w:u w:val="single"/>
          <w:lang w:val="en-US" w:eastAsia="zh-CN"/>
        </w:rPr>
        <w:t>,262.26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万元，主要包括：基本工资、津贴补贴、机关事业单位基本养老保险缴费、职业年金缴费、职工基本医疗保险缴费、其他社会保障缴费、住房公积金。</w:t>
      </w:r>
    </w:p>
    <w:p w14:paraId="4B2D10AE">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50.51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万元，主要包括：办公费、手续费、水费、</w:t>
      </w:r>
      <w:r>
        <w:rPr>
          <w:rFonts w:hint="eastAsia" w:ascii="仿宋_GB2312" w:hAnsi="仿宋_GB2312" w:eastAsia="仿宋_GB2312" w:cs="仿宋_GB2312"/>
          <w:sz w:val="32"/>
          <w:szCs w:val="32"/>
          <w:lang w:val="en-US" w:eastAsia="zh-CN"/>
        </w:rPr>
        <w:t>电费、</w:t>
      </w:r>
      <w:r>
        <w:rPr>
          <w:rFonts w:hint="eastAsia" w:ascii="仿宋_GB2312" w:hAnsi="仿宋_GB2312" w:eastAsia="仿宋_GB2312" w:cs="仿宋_GB2312"/>
          <w:sz w:val="32"/>
          <w:szCs w:val="32"/>
        </w:rPr>
        <w:t>邮电费、差旅费、维修费、培训费、会议费，公务接待费、劳务费、其他交通费、其他商品和服务支出</w:t>
      </w:r>
      <w:r>
        <w:rPr>
          <w:rFonts w:hint="eastAsia" w:ascii="仿宋_GB2312" w:hAnsi="仿宋_GB2312" w:eastAsia="仿宋_GB2312" w:cs="仿宋_GB2312"/>
          <w:sz w:val="32"/>
          <w:szCs w:val="32"/>
          <w:lang w:eastAsia="zh-CN"/>
        </w:rPr>
        <w:t>、办公设备购置、信息网络及软件购置更新</w:t>
      </w:r>
      <w:r>
        <w:rPr>
          <w:rFonts w:hint="eastAsia" w:ascii="仿宋_GB2312" w:hAnsi="仿宋_GB2312" w:eastAsia="仿宋_GB2312" w:cs="仿宋_GB2312"/>
          <w:sz w:val="32"/>
          <w:szCs w:val="32"/>
        </w:rPr>
        <w:t>。</w:t>
      </w:r>
    </w:p>
    <w:p w14:paraId="1C35959B">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七、关于</w:t>
      </w:r>
      <w:r>
        <w:rPr>
          <w:rFonts w:hint="eastAsia" w:ascii="黑体" w:hAnsi="黑体" w:eastAsia="黑体" w:cs="黑体"/>
          <w:sz w:val="32"/>
          <w:szCs w:val="32"/>
          <w:lang w:eastAsia="zh-CN"/>
        </w:rPr>
        <w:t>2026年</w:t>
      </w:r>
      <w:r>
        <w:rPr>
          <w:rFonts w:hint="eastAsia" w:ascii="黑体" w:hAnsi="黑体" w:eastAsia="黑体" w:cs="黑体"/>
          <w:sz w:val="32"/>
          <w:szCs w:val="32"/>
        </w:rPr>
        <w:t>财政拨款一般公共预算“三公”经费支出预算表的说明</w:t>
      </w:r>
    </w:p>
    <w:p w14:paraId="3307932F">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一般公共预算“三公”经费安排</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rPr>
        <w:t>预算相比增加（减少）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未增加预算安排</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292CA4EA">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具体情况：</w:t>
      </w:r>
    </w:p>
    <w:p w14:paraId="740A5F55">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因公出国（境）费预算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rPr>
        <w:t>预算相比增加（减少）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未安排</w:t>
      </w:r>
      <w:r>
        <w:rPr>
          <w:rFonts w:hint="eastAsia" w:ascii="仿宋_GB2312" w:hAnsi="仿宋_GB2312" w:eastAsia="仿宋_GB2312" w:cs="仿宋_GB2312"/>
          <w:sz w:val="32"/>
          <w:szCs w:val="32"/>
          <w:u w:val="single"/>
        </w:rPr>
        <w:t xml:space="preserve">因公出国（境）费  </w:t>
      </w:r>
      <w:r>
        <w:rPr>
          <w:rFonts w:hint="eastAsia" w:ascii="仿宋_GB2312" w:hAnsi="仿宋_GB2312" w:eastAsia="仿宋_GB2312" w:cs="仿宋_GB2312"/>
          <w:sz w:val="32"/>
          <w:szCs w:val="32"/>
        </w:rPr>
        <w:t>。</w:t>
      </w:r>
    </w:p>
    <w:p w14:paraId="7EB63F09">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公务用车购置及运行费预算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万元，其中公务用车运行费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rPr>
        <w:t>预算相比增加（减少）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不涉及</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；公务用车购置费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rPr>
        <w:t>预算相比增加（减少）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不安排购置公务用车</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7A0AB34">
      <w:pPr>
        <w:keepNext w:val="0"/>
        <w:keepLines w:val="0"/>
        <w:pageBreakBefore w:val="0"/>
        <w:widowControl w:val="0"/>
        <w:kinsoku/>
        <w:wordWrap/>
        <w:overflowPunct/>
        <w:topLinePunct w:val="0"/>
        <w:autoSpaceDE/>
        <w:autoSpaceDN/>
        <w:bidi w:val="0"/>
        <w:adjustRightInd w:val="0"/>
        <w:snapToGrid/>
        <w:spacing w:line="600" w:lineRule="exact"/>
        <w:ind w:left="0" w:leftChars="0" w:firstLine="645"/>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公务接待费预算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rPr>
        <w:t>预算相比增加（减少）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未增加预算安排</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8E802D8">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八、</w:t>
      </w:r>
      <w:bookmarkEnd w:id="10"/>
      <w:r>
        <w:rPr>
          <w:rFonts w:hint="eastAsia" w:ascii="黑体" w:hAnsi="黑体" w:eastAsia="黑体" w:cs="黑体"/>
          <w:sz w:val="32"/>
          <w:szCs w:val="32"/>
        </w:rPr>
        <w:t>关于</w:t>
      </w:r>
      <w:r>
        <w:rPr>
          <w:rFonts w:hint="eastAsia" w:ascii="黑体" w:hAnsi="黑体" w:eastAsia="黑体" w:cs="黑体"/>
          <w:sz w:val="32"/>
          <w:szCs w:val="32"/>
          <w:lang w:eastAsia="zh-CN"/>
        </w:rPr>
        <w:t>2026年</w:t>
      </w:r>
      <w:r>
        <w:rPr>
          <w:rFonts w:hint="eastAsia" w:ascii="黑体" w:hAnsi="黑体" w:eastAsia="黑体" w:cs="黑体"/>
          <w:sz w:val="32"/>
          <w:szCs w:val="32"/>
        </w:rPr>
        <w:t>财政拨款政府性基金预算支出预算表的说明</w:t>
      </w:r>
    </w:p>
    <w:p w14:paraId="152DF90F">
      <w:pPr>
        <w:keepNext w:val="0"/>
        <w:keepLines w:val="0"/>
        <w:pageBreakBefore w:val="0"/>
        <w:widowControl w:val="0"/>
        <w:kinsoku/>
        <w:wordWrap/>
        <w:overflowPunct/>
        <w:topLinePunct w:val="0"/>
        <w:autoSpaceDE/>
        <w:autoSpaceDN/>
        <w:bidi w:val="0"/>
        <w:adjustRightInd w:val="0"/>
        <w:snapToGrid/>
        <w:spacing w:line="600" w:lineRule="exact"/>
        <w:ind w:left="0" w:leftChars="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14:paraId="4D3ADA36">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202</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年本</w:t>
      </w:r>
      <w:r>
        <w:rPr>
          <w:rFonts w:hint="eastAsia" w:eastAsia="仿宋_GB2312"/>
          <w:sz w:val="32"/>
          <w:szCs w:val="32"/>
          <w:u w:val="none"/>
        </w:rPr>
        <w:t>部门预算中没有使用政府性基金预算安排的支出</w:t>
      </w:r>
      <w:r>
        <w:rPr>
          <w:rFonts w:hint="eastAsia" w:ascii="楷体" w:hAnsi="楷体" w:eastAsia="楷体" w:cs="楷体"/>
          <w:sz w:val="32"/>
          <w:szCs w:val="32"/>
          <w:u w:val="none"/>
        </w:rPr>
        <w:t>。</w:t>
      </w:r>
    </w:p>
    <w:p w14:paraId="2CC33DC4">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黑体" w:hAnsi="黑体" w:eastAsia="黑体" w:cs="黑体"/>
          <w:sz w:val="32"/>
          <w:szCs w:val="32"/>
        </w:rPr>
      </w:pPr>
      <w:bookmarkStart w:id="11" w:name="_Toc78784578"/>
      <w:r>
        <w:rPr>
          <w:rFonts w:hint="eastAsia" w:ascii="黑体" w:hAnsi="黑体" w:eastAsia="黑体" w:cs="黑体"/>
          <w:sz w:val="32"/>
          <w:szCs w:val="32"/>
        </w:rPr>
        <w:t>九、关于</w:t>
      </w:r>
      <w:r>
        <w:rPr>
          <w:rFonts w:hint="eastAsia" w:ascii="黑体" w:hAnsi="黑体" w:eastAsia="黑体" w:cs="黑体"/>
          <w:sz w:val="32"/>
          <w:szCs w:val="32"/>
          <w:lang w:val="en-US" w:eastAsia="zh-CN"/>
        </w:rPr>
        <w:t>2026年</w:t>
      </w:r>
      <w:r>
        <w:rPr>
          <w:rFonts w:hint="eastAsia" w:ascii="黑体" w:hAnsi="黑体" w:eastAsia="黑体" w:cs="黑体"/>
          <w:sz w:val="32"/>
          <w:szCs w:val="32"/>
        </w:rPr>
        <w:t>国有资本经营预算支出</w:t>
      </w:r>
      <w:r>
        <w:rPr>
          <w:rFonts w:hint="eastAsia" w:ascii="黑体" w:hAnsi="黑体" w:eastAsia="黑体" w:cs="黑体"/>
          <w:sz w:val="32"/>
          <w:szCs w:val="32"/>
          <w:lang w:eastAsia="zh-CN"/>
        </w:rPr>
        <w:t>预算</w:t>
      </w:r>
      <w:r>
        <w:rPr>
          <w:rFonts w:hint="eastAsia" w:ascii="黑体" w:hAnsi="黑体" w:eastAsia="黑体" w:cs="黑体"/>
          <w:sz w:val="32"/>
          <w:szCs w:val="32"/>
        </w:rPr>
        <w:t>表</w:t>
      </w:r>
      <w:bookmarkEnd w:id="11"/>
      <w:r>
        <w:rPr>
          <w:rFonts w:hint="eastAsia" w:ascii="黑体" w:hAnsi="黑体" w:eastAsia="黑体" w:cs="黑体"/>
          <w:sz w:val="32"/>
          <w:szCs w:val="32"/>
        </w:rPr>
        <w:t>的说明</w:t>
      </w:r>
    </w:p>
    <w:p w14:paraId="1AA5BFB9">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bookmarkStart w:id="12" w:name="_Toc78784579"/>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年本部门预算中没有使用国有资本经营预算安排的支出</w:t>
      </w:r>
      <w:r>
        <w:rPr>
          <w:rFonts w:hint="eastAsia" w:ascii="仿宋_GB2312" w:hAnsi="仿宋_GB2312" w:eastAsia="仿宋_GB2312" w:cs="仿宋_GB2312"/>
          <w:sz w:val="32"/>
          <w:szCs w:val="32"/>
          <w:lang w:val="en-US" w:eastAsia="zh-CN"/>
        </w:rPr>
        <w:t>.</w:t>
      </w:r>
    </w:p>
    <w:p w14:paraId="21911CB2">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十、其他重要事项的情况说明</w:t>
      </w:r>
    </w:p>
    <w:p w14:paraId="48227175">
      <w:pPr>
        <w:keepNext w:val="0"/>
        <w:keepLines w:val="0"/>
        <w:pageBreakBefore w:val="0"/>
        <w:widowControl w:val="0"/>
        <w:kinsoku/>
        <w:wordWrap/>
        <w:overflowPunct/>
        <w:topLinePunct w:val="0"/>
        <w:autoSpaceDE/>
        <w:autoSpaceDN/>
        <w:bidi w:val="0"/>
        <w:adjustRightInd w:val="0"/>
        <w:snapToGrid/>
        <w:spacing w:line="600" w:lineRule="exact"/>
        <w:ind w:left="0" w:leftChars="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（一）机关运行经费</w:t>
      </w:r>
      <w:bookmarkEnd w:id="12"/>
    </w:p>
    <w:p w14:paraId="17C705C5">
      <w:pPr>
        <w:keepNext w:val="0"/>
        <w:keepLines w:val="0"/>
        <w:pageBreakBefore w:val="0"/>
        <w:widowControl w:val="0"/>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color w:val="000000"/>
          <w:sz w:val="32"/>
          <w:szCs w:val="32"/>
        </w:rPr>
        <w:t>本单位的机</w:t>
      </w:r>
      <w:r>
        <w:rPr>
          <w:rFonts w:hint="eastAsia" w:ascii="仿宋_GB2312" w:hAnsi="仿宋_GB2312" w:eastAsia="仿宋_GB2312" w:cs="仿宋_GB2312"/>
          <w:sz w:val="32"/>
          <w:szCs w:val="32"/>
        </w:rPr>
        <w:t>关运行经费预算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50.51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万元，包括办公费</w:t>
      </w:r>
      <w:r>
        <w:rPr>
          <w:rFonts w:hint="eastAsia" w:ascii="仿宋_GB2312" w:hAnsi="仿宋_GB2312" w:eastAsia="仿宋_GB2312" w:cs="仿宋_GB2312"/>
          <w:sz w:val="32"/>
          <w:szCs w:val="32"/>
          <w:u w:val="single"/>
          <w:lang w:val="en-US" w:eastAsia="zh-CN"/>
        </w:rPr>
        <w:t xml:space="preserve"> 9.22</w:t>
      </w:r>
      <w:r>
        <w:rPr>
          <w:rFonts w:hint="eastAsia" w:ascii="仿宋_GB2312" w:hAnsi="仿宋_GB2312" w:eastAsia="仿宋_GB2312" w:cs="仿宋_GB2312"/>
          <w:sz w:val="32"/>
          <w:szCs w:val="32"/>
        </w:rPr>
        <w:t>万元、手续费</w:t>
      </w:r>
      <w:r>
        <w:rPr>
          <w:rFonts w:hint="eastAsia" w:ascii="仿宋_GB2312" w:hAnsi="仿宋_GB2312" w:eastAsia="仿宋_GB2312" w:cs="仿宋_GB2312"/>
          <w:sz w:val="32"/>
          <w:szCs w:val="32"/>
          <w:u w:val="single"/>
        </w:rPr>
        <w:t>0.2</w:t>
      </w:r>
      <w:r>
        <w:rPr>
          <w:rFonts w:hint="eastAsia" w:ascii="仿宋_GB2312" w:hAnsi="仿宋_GB2312" w:eastAsia="仿宋_GB2312" w:cs="仿宋_GB2312"/>
          <w:sz w:val="32"/>
          <w:szCs w:val="32"/>
        </w:rPr>
        <w:t>万元、水费</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电费</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u w:val="single"/>
          <w:lang w:val="en-US" w:eastAsia="zh-CN"/>
        </w:rPr>
        <w:t>08</w:t>
      </w:r>
      <w:r>
        <w:rPr>
          <w:rFonts w:hint="eastAsia" w:ascii="仿宋_GB2312" w:hAnsi="仿宋_GB2312" w:eastAsia="仿宋_GB2312" w:cs="仿宋_GB2312"/>
          <w:sz w:val="32"/>
          <w:szCs w:val="32"/>
        </w:rPr>
        <w:t>万元、邮电费</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u w:val="single"/>
          <w:lang w:val="en-US" w:eastAsia="zh-CN"/>
        </w:rPr>
        <w:t>2</w:t>
      </w:r>
      <w:r>
        <w:rPr>
          <w:rFonts w:hint="eastAsia" w:ascii="仿宋_GB2312" w:hAnsi="仿宋_GB2312" w:eastAsia="仿宋_GB2312" w:cs="仿宋_GB2312"/>
          <w:sz w:val="32"/>
          <w:szCs w:val="32"/>
        </w:rPr>
        <w:t>万元、差旅费</w:t>
      </w:r>
      <w:r>
        <w:rPr>
          <w:rFonts w:hint="eastAsia" w:ascii="仿宋_GB2312" w:hAnsi="仿宋_GB2312" w:eastAsia="仿宋_GB2312" w:cs="仿宋_GB2312"/>
          <w:sz w:val="32"/>
          <w:szCs w:val="32"/>
          <w:u w:val="single"/>
          <w:lang w:val="en-US" w:eastAsia="zh-CN"/>
        </w:rPr>
        <w:t xml:space="preserve"> 8.3</w:t>
      </w:r>
      <w:r>
        <w:rPr>
          <w:rFonts w:hint="eastAsia" w:ascii="仿宋_GB2312" w:hAnsi="仿宋_GB2312" w:eastAsia="仿宋_GB2312" w:cs="仿宋_GB2312"/>
          <w:sz w:val="32"/>
          <w:szCs w:val="32"/>
        </w:rPr>
        <w:t>万元、维修费</w:t>
      </w:r>
      <w:r>
        <w:rPr>
          <w:rFonts w:hint="eastAsia" w:ascii="仿宋_GB2312" w:hAnsi="仿宋_GB2312" w:eastAsia="仿宋_GB2312" w:cs="仿宋_GB2312"/>
          <w:sz w:val="32"/>
          <w:szCs w:val="32"/>
          <w:u w:val="single"/>
        </w:rPr>
        <w:t>0.3</w:t>
      </w:r>
      <w:r>
        <w:rPr>
          <w:rFonts w:hint="eastAsia" w:ascii="仿宋_GB2312" w:hAnsi="仿宋_GB2312" w:eastAsia="仿宋_GB2312" w:cs="仿宋_GB2312"/>
          <w:sz w:val="32"/>
          <w:szCs w:val="32"/>
        </w:rPr>
        <w:t>万元、培训费</w:t>
      </w:r>
      <w:r>
        <w:rPr>
          <w:rFonts w:hint="eastAsia" w:ascii="仿宋_GB2312" w:hAnsi="仿宋_GB2312" w:eastAsia="仿宋_GB2312" w:cs="仿宋_GB2312"/>
          <w:sz w:val="32"/>
          <w:szCs w:val="32"/>
          <w:u w:val="single"/>
        </w:rPr>
        <w:t>0.4</w:t>
      </w:r>
      <w:r>
        <w:rPr>
          <w:rFonts w:hint="eastAsia" w:ascii="仿宋_GB2312" w:hAnsi="仿宋_GB2312" w:eastAsia="仿宋_GB2312" w:cs="仿宋_GB2312"/>
          <w:sz w:val="32"/>
          <w:szCs w:val="32"/>
        </w:rPr>
        <w:t>万元、会议费</w:t>
      </w:r>
      <w:r>
        <w:rPr>
          <w:rFonts w:hint="eastAsia" w:ascii="仿宋_GB2312" w:hAnsi="仿宋_GB2312" w:eastAsia="仿宋_GB2312" w:cs="仿宋_GB2312"/>
          <w:sz w:val="32"/>
          <w:szCs w:val="32"/>
          <w:u w:val="single"/>
          <w:lang w:val="en-US" w:eastAsia="zh-CN"/>
        </w:rPr>
        <w:t xml:space="preserve"> 0.4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u w:val="single"/>
        </w:rPr>
        <w:t>0.3</w:t>
      </w:r>
      <w:r>
        <w:rPr>
          <w:rFonts w:hint="eastAsia" w:ascii="仿宋_GB2312" w:hAnsi="仿宋_GB2312" w:eastAsia="仿宋_GB2312" w:cs="仿宋_GB2312"/>
          <w:sz w:val="32"/>
          <w:szCs w:val="32"/>
        </w:rPr>
        <w:t>万元、劳务费</w:t>
      </w:r>
      <w:r>
        <w:rPr>
          <w:rFonts w:hint="eastAsia" w:ascii="仿宋_GB2312" w:hAnsi="仿宋_GB2312" w:eastAsia="仿宋_GB2312" w:cs="仿宋_GB2312"/>
          <w:sz w:val="32"/>
          <w:szCs w:val="32"/>
          <w:u w:val="single"/>
        </w:rPr>
        <w:t>0.3</w:t>
      </w:r>
      <w:r>
        <w:rPr>
          <w:rFonts w:hint="eastAsia" w:ascii="仿宋_GB2312" w:hAnsi="仿宋_GB2312" w:eastAsia="仿宋_GB2312" w:cs="仿宋_GB2312"/>
          <w:sz w:val="32"/>
          <w:szCs w:val="32"/>
          <w:u w:val="single"/>
          <w:lang w:val="en-US" w:eastAsia="zh-CN"/>
        </w:rPr>
        <w:t>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u w:val="single"/>
          <w:lang w:val="en-US" w:eastAsia="zh-CN"/>
        </w:rPr>
        <w:t>9.08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其他商品和服务支出</w:t>
      </w:r>
      <w:r>
        <w:rPr>
          <w:rFonts w:hint="eastAsia" w:ascii="仿宋_GB2312" w:hAnsi="仿宋_GB2312" w:eastAsia="仿宋_GB2312" w:cs="仿宋_GB2312"/>
          <w:sz w:val="32"/>
          <w:szCs w:val="32"/>
          <w:u w:val="single"/>
          <w:lang w:val="en-US" w:eastAsia="zh-CN"/>
        </w:rPr>
        <w:t xml:space="preserve"> 9.83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、办公设备购置</w:t>
      </w:r>
      <w:r>
        <w:rPr>
          <w:rFonts w:hint="eastAsia" w:ascii="仿宋_GB2312" w:hAnsi="仿宋_GB2312" w:eastAsia="仿宋_GB2312" w:cs="仿宋_GB2312"/>
          <w:sz w:val="32"/>
          <w:szCs w:val="32"/>
          <w:u w:val="single"/>
          <w:lang w:val="en-US" w:eastAsia="zh-CN"/>
        </w:rPr>
        <w:t xml:space="preserve"> 0.9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、信息网络及软件购置更新</w:t>
      </w:r>
      <w:r>
        <w:rPr>
          <w:rFonts w:hint="eastAsia" w:ascii="仿宋_GB2312" w:hAnsi="仿宋_GB2312" w:eastAsia="仿宋_GB2312" w:cs="仿宋_GB2312"/>
          <w:sz w:val="32"/>
          <w:szCs w:val="32"/>
          <w:u w:val="single"/>
          <w:lang w:val="en-US" w:eastAsia="zh-CN"/>
        </w:rPr>
        <w:t xml:space="preserve"> 0.38</w:t>
      </w:r>
      <w:r>
        <w:rPr>
          <w:rFonts w:hint="eastAsia" w:ascii="仿宋_GB2312" w:hAnsi="仿宋_GB2312" w:eastAsia="仿宋_GB2312" w:cs="仿宋_GB2312"/>
          <w:sz w:val="32"/>
          <w:szCs w:val="32"/>
        </w:rPr>
        <w:t>万元。</w:t>
      </w:r>
    </w:p>
    <w:p w14:paraId="7EE11F3C">
      <w:pPr>
        <w:keepNext w:val="0"/>
        <w:keepLines w:val="0"/>
        <w:pageBreakBefore w:val="0"/>
        <w:widowControl w:val="0"/>
        <w:kinsoku/>
        <w:wordWrap/>
        <w:overflowPunct/>
        <w:topLinePunct w:val="0"/>
        <w:autoSpaceDE/>
        <w:autoSpaceDN/>
        <w:bidi w:val="0"/>
        <w:adjustRightInd w:val="0"/>
        <w:snapToGrid/>
        <w:spacing w:line="600" w:lineRule="exact"/>
        <w:ind w:left="0" w:leftChars="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（二）政府采购情况</w:t>
      </w:r>
    </w:p>
    <w:p w14:paraId="4A6EADD6">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安排政府采购预算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194.65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rPr>
        <w:t>其中：政府采购货物支出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0.97</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rPr>
        <w:t>万元、政府采购工程支出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rPr>
        <w:t>万元、政府采购服务支出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193.58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rPr>
        <w:t>万元。主要项目是：专业评审项目</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5</w:t>
      </w:r>
      <w:r>
        <w:rPr>
          <w:rFonts w:hint="eastAsia" w:ascii="仿宋_GB2312" w:hAnsi="仿宋_GB2312" w:eastAsia="仿宋_GB2312" w:cs="仿宋_GB2312"/>
          <w:sz w:val="32"/>
          <w:szCs w:val="32"/>
          <w:u w:val="single"/>
          <w:lang w:val="en-US" w:eastAsia="zh-CN"/>
        </w:rPr>
        <w:t>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rPr>
        <w:t>万元，经开区能源规划编制项目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19.88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,经开区零碳园区建设专项</w:t>
      </w:r>
      <w:r>
        <w:rPr>
          <w:rFonts w:hint="eastAsia" w:ascii="仿宋_GB2312" w:hAnsi="仿宋_GB2312" w:eastAsia="仿宋_GB2312" w:cs="仿宋_GB2312"/>
          <w:color w:val="000000"/>
          <w:sz w:val="32"/>
          <w:szCs w:val="32"/>
          <w:u w:val="single"/>
          <w:lang w:val="en-US" w:eastAsia="zh-CN"/>
        </w:rPr>
        <w:t xml:space="preserve"> 50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,经开区“十五五”规划纲要编制工作专项</w:t>
      </w:r>
      <w:r>
        <w:rPr>
          <w:rFonts w:hint="eastAsia" w:ascii="仿宋_GB2312" w:hAnsi="仿宋_GB2312" w:eastAsia="仿宋_GB2312" w:cs="仿宋_GB2312"/>
          <w:color w:val="000000"/>
          <w:sz w:val="32"/>
          <w:szCs w:val="32"/>
          <w:u w:val="single"/>
          <w:lang w:val="en-US" w:eastAsia="zh-CN"/>
        </w:rPr>
        <w:t xml:space="preserve"> 15.8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油气管道安全保护工作专项</w:t>
      </w:r>
      <w:r>
        <w:rPr>
          <w:rFonts w:hint="eastAsia" w:ascii="仿宋_GB2312" w:hAnsi="仿宋_GB2312" w:eastAsia="仿宋_GB2312" w:cs="仿宋_GB2312"/>
          <w:color w:val="000000"/>
          <w:sz w:val="32"/>
          <w:szCs w:val="32"/>
          <w:u w:val="single"/>
          <w:lang w:val="en-US" w:eastAsia="zh-CN"/>
        </w:rPr>
        <w:t xml:space="preserve"> 50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auto"/>
          <w:sz w:val="32"/>
          <w:szCs w:val="32"/>
          <w:lang w:eastAsia="zh-CN"/>
        </w:rPr>
        <w:t>。</w:t>
      </w:r>
    </w:p>
    <w:p w14:paraId="3AF87B23">
      <w:pPr>
        <w:keepNext w:val="0"/>
        <w:keepLines w:val="0"/>
        <w:pageBreakBefore w:val="0"/>
        <w:widowControl w:val="0"/>
        <w:kinsoku/>
        <w:wordWrap/>
        <w:overflowPunct/>
        <w:topLinePunct w:val="0"/>
        <w:autoSpaceDE/>
        <w:autoSpaceDN/>
        <w:bidi w:val="0"/>
        <w:adjustRightInd w:val="0"/>
        <w:snapToGrid/>
        <w:spacing w:line="600" w:lineRule="exact"/>
        <w:ind w:left="0" w:leftChars="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（三）国有资产占用情况</w:t>
      </w:r>
    </w:p>
    <w:p w14:paraId="5A4D357E">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截至</w:t>
      </w: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7月</w:t>
      </w:r>
      <w:r>
        <w:rPr>
          <w:rFonts w:hint="eastAsia" w:ascii="仿宋_GB2312" w:hAnsi="仿宋_GB2312" w:eastAsia="仿宋_GB2312" w:cs="仿宋_GB2312"/>
          <w:color w:val="000000"/>
          <w:sz w:val="32"/>
          <w:szCs w:val="32"/>
          <w:highlight w:val="none"/>
        </w:rPr>
        <w:t>底</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本部门</w:t>
      </w:r>
      <w:r>
        <w:rPr>
          <w:rFonts w:hint="eastAsia" w:ascii="仿宋_GB2312" w:hAnsi="仿宋_GB2312" w:eastAsia="仿宋_GB2312" w:cs="仿宋_GB2312"/>
          <w:color w:val="000000"/>
          <w:sz w:val="32"/>
          <w:szCs w:val="32"/>
        </w:rPr>
        <w:t>各单位共有车辆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rPr>
        <w:t>辆，其中：副部（省）级及以上领导用车</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rPr>
        <w:t>辆、主要领导干部用车</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rPr>
        <w:t>辆、机要通信用车</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辆、离退休干部用车</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辆、</w:t>
      </w:r>
      <w:r>
        <w:rPr>
          <w:rFonts w:hint="eastAsia" w:ascii="仿宋_GB2312" w:hAnsi="仿宋_GB2312" w:eastAsia="仿宋_GB2312" w:cs="仿宋_GB2312"/>
          <w:color w:val="000000"/>
          <w:sz w:val="32"/>
          <w:szCs w:val="32"/>
        </w:rPr>
        <w:t>其他用车</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0</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sz w:val="32"/>
          <w:szCs w:val="32"/>
        </w:rPr>
        <w:t>其他用车主要包括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rPr>
        <w:t>。单价50万元以上的通用设备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rPr>
        <w:t>台（套），单价100万元以上的专用设备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rPr>
        <w:t>台（套）。</w:t>
      </w:r>
    </w:p>
    <w:p w14:paraId="4BACDE4E">
      <w:pPr>
        <w:keepNext w:val="0"/>
        <w:keepLines w:val="0"/>
        <w:pageBreakBefore w:val="0"/>
        <w:widowControl w:val="0"/>
        <w:kinsoku/>
        <w:wordWrap/>
        <w:overflowPunct/>
        <w:topLinePunct w:val="0"/>
        <w:autoSpaceDE/>
        <w:autoSpaceDN/>
        <w:bidi w:val="0"/>
        <w:adjustRightInd w:val="0"/>
        <w:snapToGrid/>
        <w:spacing w:line="600" w:lineRule="exact"/>
        <w:ind w:left="0" w:leftChars="0" w:firstLine="643"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（四）预算绩效情况说明</w:t>
      </w:r>
    </w:p>
    <w:p w14:paraId="1F580C58">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本部门</w:t>
      </w:r>
      <w:r>
        <w:rPr>
          <w:rFonts w:hint="eastAsia" w:ascii="仿宋_GB2312" w:hAnsi="仿宋_GB2312" w:eastAsia="仿宋_GB2312" w:cs="仿宋_GB2312"/>
          <w:color w:val="000000"/>
          <w:sz w:val="32"/>
          <w:szCs w:val="32"/>
          <w:lang w:eastAsia="zh-CN"/>
        </w:rPr>
        <w:t>2026年</w:t>
      </w:r>
      <w:r>
        <w:rPr>
          <w:rFonts w:hint="eastAsia" w:ascii="仿宋_GB2312" w:hAnsi="仿宋_GB2312" w:eastAsia="仿宋_GB2312" w:cs="仿宋_GB2312"/>
          <w:color w:val="000000"/>
          <w:sz w:val="32"/>
          <w:szCs w:val="32"/>
        </w:rPr>
        <w:t>实行绩效目标管理的项目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rPr>
        <w:t>个，涉及预算金额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232,294.68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w:t>
      </w:r>
      <w:r>
        <w:rPr>
          <w:rFonts w:hint="eastAsia" w:ascii="仿宋_GB2312" w:hAnsi="仿宋_GB2312" w:eastAsia="仿宋_GB2312" w:cs="仿宋_GB2312"/>
          <w:color w:val="000000"/>
          <w:sz w:val="32"/>
          <w:szCs w:val="32"/>
        </w:rPr>
        <w:t>元。</w:t>
      </w:r>
    </w:p>
    <w:p w14:paraId="546808B4">
      <w:pPr>
        <w:pStyle w:val="2"/>
        <w:pageBreakBefore w:val="0"/>
        <w:widowControl w:val="0"/>
        <w:kinsoku/>
        <w:wordWrap/>
        <w:overflowPunct/>
        <w:topLinePunct w:val="0"/>
        <w:autoSpaceDE/>
        <w:autoSpaceDN/>
        <w:bidi w:val="0"/>
        <w:adjustRightInd w:val="0"/>
        <w:snapToGrid/>
        <w:spacing w:before="0" w:after="0"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bookmarkStart w:id="13" w:name="_Toc78784585"/>
    </w:p>
    <w:p w14:paraId="0FA224FE">
      <w:pPr>
        <w:pStyle w:val="2"/>
        <w:pageBreakBefore w:val="0"/>
        <w:widowControl w:val="0"/>
        <w:kinsoku/>
        <w:wordWrap/>
        <w:overflowPunct/>
        <w:topLinePunct w:val="0"/>
        <w:autoSpaceDE/>
        <w:autoSpaceDN/>
        <w:bidi w:val="0"/>
        <w:adjustRightInd w:val="0"/>
        <w:snapToGrid/>
        <w:spacing w:before="0" w:after="0"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10873BA2">
      <w:pPr>
        <w:pageBreakBefore w:val="0"/>
        <w:widowControl w:val="0"/>
        <w:overflowPunct/>
        <w:topLinePunct w:val="0"/>
        <w:autoSpaceDE/>
        <w:autoSpaceDN/>
        <w:bidi w:val="0"/>
        <w:adjustRightInd w:val="0"/>
        <w:snapToGrid/>
        <w:spacing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42E2FD8C">
      <w:pPr>
        <w:pageBreakBefore w:val="0"/>
        <w:widowControl w:val="0"/>
        <w:overflowPunct/>
        <w:topLinePunct w:val="0"/>
        <w:autoSpaceDE/>
        <w:autoSpaceDN/>
        <w:bidi w:val="0"/>
        <w:adjustRightInd w:val="0"/>
        <w:snapToGrid/>
        <w:spacing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7C9161DF">
      <w:pPr>
        <w:pageBreakBefore w:val="0"/>
        <w:widowControl w:val="0"/>
        <w:overflowPunct/>
        <w:topLinePunct w:val="0"/>
        <w:autoSpaceDE/>
        <w:autoSpaceDN/>
        <w:bidi w:val="0"/>
        <w:adjustRightInd w:val="0"/>
        <w:snapToGrid/>
        <w:spacing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23565C38">
      <w:pPr>
        <w:pageBreakBefore w:val="0"/>
        <w:widowControl w:val="0"/>
        <w:overflowPunct/>
        <w:topLinePunct w:val="0"/>
        <w:autoSpaceDE/>
        <w:autoSpaceDN/>
        <w:bidi w:val="0"/>
        <w:adjustRightInd w:val="0"/>
        <w:snapToGrid/>
        <w:spacing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78BA4413">
      <w:pPr>
        <w:pageBreakBefore w:val="0"/>
        <w:widowControl w:val="0"/>
        <w:overflowPunct/>
        <w:topLinePunct w:val="0"/>
        <w:autoSpaceDE/>
        <w:autoSpaceDN/>
        <w:bidi w:val="0"/>
        <w:adjustRightInd w:val="0"/>
        <w:snapToGrid/>
        <w:spacing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48188612">
      <w:pPr>
        <w:pageBreakBefore w:val="0"/>
        <w:widowControl w:val="0"/>
        <w:overflowPunct/>
        <w:topLinePunct w:val="0"/>
        <w:autoSpaceDE/>
        <w:autoSpaceDN/>
        <w:bidi w:val="0"/>
        <w:adjustRightInd w:val="0"/>
        <w:snapToGrid/>
        <w:spacing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03CACC66">
      <w:pPr>
        <w:pageBreakBefore w:val="0"/>
        <w:widowControl w:val="0"/>
        <w:overflowPunct/>
        <w:topLinePunct w:val="0"/>
        <w:autoSpaceDE/>
        <w:autoSpaceDN/>
        <w:bidi w:val="0"/>
        <w:adjustRightInd w:val="0"/>
        <w:snapToGrid/>
        <w:spacing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518D3D59">
      <w:pPr>
        <w:pageBreakBefore w:val="0"/>
        <w:widowControl w:val="0"/>
        <w:overflowPunct/>
        <w:topLinePunct w:val="0"/>
        <w:autoSpaceDE/>
        <w:autoSpaceDN/>
        <w:bidi w:val="0"/>
        <w:adjustRightInd w:val="0"/>
        <w:snapToGrid/>
        <w:spacing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2D060517">
      <w:pPr>
        <w:pageBreakBefore w:val="0"/>
        <w:widowControl w:val="0"/>
        <w:overflowPunct/>
        <w:topLinePunct w:val="0"/>
        <w:autoSpaceDE/>
        <w:autoSpaceDN/>
        <w:bidi w:val="0"/>
        <w:adjustRightInd w:val="0"/>
        <w:snapToGrid/>
        <w:spacing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01DAC6F0">
      <w:pPr>
        <w:pageBreakBefore w:val="0"/>
        <w:widowControl w:val="0"/>
        <w:overflowPunct/>
        <w:topLinePunct w:val="0"/>
        <w:autoSpaceDE/>
        <w:autoSpaceDN/>
        <w:bidi w:val="0"/>
        <w:adjustRightInd w:val="0"/>
        <w:snapToGrid/>
        <w:spacing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5E6DA740">
      <w:pPr>
        <w:pageBreakBefore w:val="0"/>
        <w:widowControl w:val="0"/>
        <w:overflowPunct/>
        <w:topLinePunct w:val="0"/>
        <w:autoSpaceDE/>
        <w:autoSpaceDN/>
        <w:bidi w:val="0"/>
        <w:adjustRightInd w:val="0"/>
        <w:snapToGrid/>
        <w:spacing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5A17C0D7">
      <w:pPr>
        <w:pageBreakBefore w:val="0"/>
        <w:widowControl w:val="0"/>
        <w:overflowPunct/>
        <w:topLinePunct w:val="0"/>
        <w:autoSpaceDE/>
        <w:autoSpaceDN/>
        <w:bidi w:val="0"/>
        <w:adjustRightInd w:val="0"/>
        <w:snapToGrid/>
        <w:spacing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7FA09CCA">
      <w:pPr>
        <w:pStyle w:val="2"/>
        <w:pageBreakBefore w:val="0"/>
        <w:widowControl w:val="0"/>
        <w:kinsoku/>
        <w:wordWrap/>
        <w:overflowPunct/>
        <w:topLinePunct w:val="0"/>
        <w:autoSpaceDE/>
        <w:autoSpaceDN/>
        <w:bidi w:val="0"/>
        <w:adjustRightInd w:val="0"/>
        <w:snapToGrid/>
        <w:spacing w:before="0" w:after="0" w:line="600" w:lineRule="exact"/>
        <w:jc w:val="center"/>
        <w:textAlignment w:val="baseline"/>
        <w:rPr>
          <w:rFonts w:hint="eastAsia" w:ascii="方正小标宋简体" w:hAnsi="方正小标宋简体" w:eastAsia="方正小标宋简体" w:cs="方正小标宋简体"/>
          <w:b w:val="0"/>
          <w:bCs w:val="0"/>
          <w:sz w:val="48"/>
          <w:szCs w:val="48"/>
          <w:lang w:eastAsia="zh-CN"/>
        </w:rPr>
      </w:pPr>
      <w:r>
        <w:rPr>
          <w:rFonts w:hint="eastAsia" w:ascii="方正小标宋简体" w:hAnsi="方正小标宋简体" w:eastAsia="方正小标宋简体" w:cs="方正小标宋简体"/>
          <w:b w:val="0"/>
          <w:bCs w:val="0"/>
          <w:sz w:val="48"/>
          <w:szCs w:val="48"/>
          <w:lang w:eastAsia="zh-CN"/>
        </w:rPr>
        <w:t>第三部分  名词解释</w:t>
      </w:r>
      <w:bookmarkEnd w:id="13"/>
    </w:p>
    <w:p w14:paraId="0E79F8FA">
      <w:pPr>
        <w:keepNext w:val="0"/>
        <w:keepLines w:val="0"/>
        <w:pageBreakBefore w:val="0"/>
        <w:widowControl w:val="0"/>
        <w:kinsoku/>
        <w:wordWrap/>
        <w:overflowPunct/>
        <w:topLinePunct w:val="0"/>
        <w:autoSpaceDE/>
        <w:autoSpaceDN/>
        <w:bidi w:val="0"/>
        <w:adjustRightInd w:val="0"/>
        <w:snapToGrid/>
        <w:spacing w:line="600" w:lineRule="exact"/>
        <w:ind w:left="0" w:leftChars="0" w:firstLine="560" w:firstLineChars="200"/>
        <w:jc w:val="both"/>
        <w:textAlignment w:val="baseline"/>
        <w:rPr>
          <w:rFonts w:hint="eastAsia" w:ascii="仿宋_GB2312" w:hAnsi="仿宋_GB2312" w:eastAsia="仿宋_GB2312" w:cs="仿宋_GB2312"/>
          <w:sz w:val="28"/>
          <w:szCs w:val="28"/>
        </w:rPr>
      </w:pPr>
    </w:p>
    <w:p w14:paraId="6DAACAF9">
      <w:pPr>
        <w:keepNext w:val="0"/>
        <w:keepLines w:val="0"/>
        <w:pageBreakBefore w:val="0"/>
        <w:widowControl w:val="0"/>
        <w:kinsoku/>
        <w:wordWrap/>
        <w:overflowPunct/>
        <w:topLinePunct w:val="0"/>
        <w:autoSpaceDE/>
        <w:autoSpaceDN/>
        <w:bidi w:val="0"/>
        <w:adjustRightInd w:val="0"/>
        <w:snapToGrid/>
        <w:spacing w:line="600" w:lineRule="exact"/>
        <w:ind w:left="0" w:leftChars="0"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1.部门预算。</w:t>
      </w:r>
      <w:r>
        <w:rPr>
          <w:rFonts w:hint="eastAsia" w:ascii="仿宋_GB2312" w:hAnsi="仿宋_GB2312" w:eastAsia="仿宋_GB2312" w:cs="仿宋_GB2312"/>
          <w:sz w:val="32"/>
          <w:szCs w:val="32"/>
        </w:rPr>
        <w:t>是指主管预算部门依据相关法律、法规和政策规定及其行使职能需要，组织所属预算单位编制并逐级上报、审核、汇总，经财政部门审核后按程序依法批准的部门综合收支计划。</w:t>
      </w:r>
    </w:p>
    <w:p w14:paraId="0A326C07">
      <w:pPr>
        <w:keepNext w:val="0"/>
        <w:keepLines w:val="0"/>
        <w:pageBreakBefore w:val="0"/>
        <w:widowControl w:val="0"/>
        <w:kinsoku/>
        <w:wordWrap/>
        <w:overflowPunct/>
        <w:topLinePunct w:val="0"/>
        <w:autoSpaceDE/>
        <w:autoSpaceDN/>
        <w:bidi w:val="0"/>
        <w:adjustRightInd w:val="0"/>
        <w:snapToGrid/>
        <w:spacing w:line="600" w:lineRule="exact"/>
        <w:ind w:left="0" w:leftChars="0" w:firstLine="643"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 机关运行经费。</w:t>
      </w:r>
      <w:r>
        <w:rPr>
          <w:rFonts w:hint="eastAsia" w:ascii="仿宋_GB2312" w:hAnsi="仿宋_GB2312" w:eastAsia="仿宋_GB2312" w:cs="仿宋_GB2312"/>
          <w:sz w:val="32"/>
          <w:szCs w:val="32"/>
        </w:rPr>
        <w:t>是指各部门的公用经费，包括办公费、手续费、水费、</w:t>
      </w:r>
      <w:r>
        <w:rPr>
          <w:rFonts w:hint="eastAsia" w:ascii="仿宋_GB2312" w:hAnsi="仿宋_GB2312" w:eastAsia="仿宋_GB2312" w:cs="仿宋_GB2312"/>
          <w:sz w:val="32"/>
          <w:szCs w:val="32"/>
          <w:lang w:val="en-US" w:eastAsia="zh-CN"/>
        </w:rPr>
        <w:t>电费、</w:t>
      </w:r>
      <w:r>
        <w:rPr>
          <w:rFonts w:hint="eastAsia" w:ascii="仿宋_GB2312" w:hAnsi="仿宋_GB2312" w:eastAsia="仿宋_GB2312" w:cs="仿宋_GB2312"/>
          <w:sz w:val="32"/>
          <w:szCs w:val="32"/>
        </w:rPr>
        <w:t>邮电费、差旅费、维修费、培训费、会议费，公务接待费、劳务费、其他交通费费用、其他商品和服务支出</w:t>
      </w:r>
      <w:r>
        <w:rPr>
          <w:rFonts w:hint="eastAsia" w:ascii="仿宋_GB2312" w:hAnsi="仿宋_GB2312" w:eastAsia="仿宋_GB2312" w:cs="仿宋_GB2312"/>
          <w:sz w:val="32"/>
          <w:szCs w:val="32"/>
          <w:lang w:eastAsia="zh-CN"/>
        </w:rPr>
        <w:t>、办公设备购置、信息网络及软件购置更新</w:t>
      </w:r>
      <w:r>
        <w:rPr>
          <w:rFonts w:hint="eastAsia" w:ascii="仿宋_GB2312" w:hAnsi="仿宋_GB2312" w:eastAsia="仿宋_GB2312" w:cs="仿宋_GB2312"/>
          <w:sz w:val="32"/>
          <w:szCs w:val="32"/>
        </w:rPr>
        <w:t>。</w:t>
      </w:r>
    </w:p>
    <w:p w14:paraId="652CD7C7">
      <w:pPr>
        <w:pageBreakBefore w:val="0"/>
        <w:widowControl w:val="0"/>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sz w:val="32"/>
          <w:szCs w:val="32"/>
        </w:rPr>
      </w:pPr>
    </w:p>
    <w:p w14:paraId="0CA0445B">
      <w:pPr>
        <w:pageBreakBefore w:val="0"/>
        <w:widowControl w:val="0"/>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sz w:val="32"/>
          <w:szCs w:val="32"/>
        </w:rPr>
      </w:pPr>
    </w:p>
    <w:p w14:paraId="0D141436">
      <w:pPr>
        <w:pageBreakBefore w:val="0"/>
        <w:widowControl w:val="0"/>
        <w:overflowPunct/>
        <w:topLinePunct w:val="0"/>
        <w:autoSpaceDE/>
        <w:autoSpaceDN/>
        <w:bidi w:val="0"/>
        <w:adjustRightInd w:val="0"/>
        <w:snapToGrid/>
        <w:spacing w:line="600" w:lineRule="exact"/>
        <w:ind w:firstLine="640" w:firstLineChars="200"/>
        <w:jc w:val="both"/>
        <w:textAlignment w:val="baseline"/>
        <w:rPr>
          <w:rFonts w:hint="eastAsia" w:ascii="仿宋_GB2312" w:hAnsi="仿宋_GB2312" w:eastAsia="仿宋_GB2312" w:cs="仿宋_GB2312"/>
          <w:sz w:val="32"/>
          <w:szCs w:val="32"/>
        </w:rPr>
      </w:pPr>
    </w:p>
    <w:p w14:paraId="5B69A767">
      <w:pPr>
        <w:pStyle w:val="2"/>
        <w:pageBreakBefore w:val="0"/>
        <w:widowControl w:val="0"/>
        <w:kinsoku/>
        <w:wordWrap/>
        <w:overflowPunct/>
        <w:topLinePunct w:val="0"/>
        <w:autoSpaceDE/>
        <w:autoSpaceDN/>
        <w:bidi w:val="0"/>
        <w:adjustRightInd w:val="0"/>
        <w:snapToGrid/>
        <w:spacing w:before="0" w:after="0"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5FBA4863">
      <w:pPr>
        <w:pStyle w:val="2"/>
        <w:pageBreakBefore w:val="0"/>
        <w:widowControl w:val="0"/>
        <w:kinsoku/>
        <w:wordWrap/>
        <w:overflowPunct/>
        <w:topLinePunct w:val="0"/>
        <w:autoSpaceDE/>
        <w:autoSpaceDN/>
        <w:bidi w:val="0"/>
        <w:adjustRightInd w:val="0"/>
        <w:snapToGrid/>
        <w:spacing w:before="0" w:after="0"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6D869694">
      <w:pPr>
        <w:pStyle w:val="2"/>
        <w:pageBreakBefore w:val="0"/>
        <w:widowControl w:val="0"/>
        <w:kinsoku/>
        <w:wordWrap/>
        <w:overflowPunct/>
        <w:topLinePunct w:val="0"/>
        <w:autoSpaceDE/>
        <w:autoSpaceDN/>
        <w:bidi w:val="0"/>
        <w:adjustRightInd w:val="0"/>
        <w:snapToGrid/>
        <w:spacing w:before="0" w:after="0"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7C67B929">
      <w:pPr>
        <w:pStyle w:val="2"/>
        <w:pageBreakBefore w:val="0"/>
        <w:widowControl w:val="0"/>
        <w:kinsoku/>
        <w:wordWrap/>
        <w:overflowPunct/>
        <w:topLinePunct w:val="0"/>
        <w:autoSpaceDE/>
        <w:autoSpaceDN/>
        <w:bidi w:val="0"/>
        <w:adjustRightInd w:val="0"/>
        <w:snapToGrid/>
        <w:spacing w:before="0" w:after="0"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562E638B">
      <w:pPr>
        <w:pStyle w:val="2"/>
        <w:pageBreakBefore w:val="0"/>
        <w:widowControl w:val="0"/>
        <w:kinsoku/>
        <w:wordWrap/>
        <w:overflowPunct/>
        <w:topLinePunct w:val="0"/>
        <w:autoSpaceDE/>
        <w:autoSpaceDN/>
        <w:bidi w:val="0"/>
        <w:adjustRightInd w:val="0"/>
        <w:snapToGrid/>
        <w:spacing w:before="0" w:after="0"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34E67961">
      <w:pPr>
        <w:pStyle w:val="2"/>
        <w:pageBreakBefore w:val="0"/>
        <w:widowControl w:val="0"/>
        <w:kinsoku/>
        <w:wordWrap/>
        <w:overflowPunct/>
        <w:topLinePunct w:val="0"/>
        <w:autoSpaceDE/>
        <w:autoSpaceDN/>
        <w:bidi w:val="0"/>
        <w:adjustRightInd w:val="0"/>
        <w:snapToGrid/>
        <w:spacing w:before="0" w:after="0"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0E58370F">
      <w:pPr>
        <w:pageBreakBefore w:val="0"/>
        <w:widowControl w:val="0"/>
        <w:overflowPunct/>
        <w:topLinePunct w:val="0"/>
        <w:autoSpaceDE/>
        <w:autoSpaceDN/>
        <w:bidi w:val="0"/>
        <w:adjustRightInd w:val="0"/>
        <w:snapToGrid/>
        <w:spacing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0596FB1D">
      <w:pPr>
        <w:pageBreakBefore w:val="0"/>
        <w:widowControl w:val="0"/>
        <w:overflowPunct/>
        <w:topLinePunct w:val="0"/>
        <w:autoSpaceDE/>
        <w:autoSpaceDN/>
        <w:bidi w:val="0"/>
        <w:adjustRightInd w:val="0"/>
        <w:snapToGrid/>
        <w:spacing w:line="600" w:lineRule="exact"/>
        <w:jc w:val="both"/>
        <w:textAlignment w:val="baseline"/>
        <w:rPr>
          <w:rFonts w:hint="eastAsia" w:ascii="方正小标宋简体" w:hAnsi="方正小标宋简体" w:eastAsia="方正小标宋简体" w:cs="方正小标宋简体"/>
          <w:b w:val="0"/>
          <w:bCs w:val="0"/>
          <w:sz w:val="48"/>
          <w:szCs w:val="48"/>
          <w:lang w:eastAsia="zh-CN"/>
        </w:rPr>
      </w:pPr>
    </w:p>
    <w:p w14:paraId="4732DD09">
      <w:pPr>
        <w:pStyle w:val="2"/>
        <w:keepNext/>
        <w:keepLines/>
        <w:pageBreakBefore w:val="0"/>
        <w:widowControl w:val="0"/>
        <w:kinsoku/>
        <w:wordWrap/>
        <w:overflowPunct/>
        <w:topLinePunct w:val="0"/>
        <w:autoSpaceDE/>
        <w:autoSpaceDN/>
        <w:bidi w:val="0"/>
        <w:adjustRightInd w:val="0"/>
        <w:snapToGrid/>
        <w:spacing w:before="0" w:after="0" w:line="600" w:lineRule="exact"/>
        <w:jc w:val="center"/>
        <w:textAlignment w:val="baseline"/>
        <w:rPr>
          <w:rFonts w:hint="eastAsia" w:ascii="方正小标宋简体" w:hAnsi="方正小标宋简体" w:eastAsia="方正小标宋简体" w:cs="方正小标宋简体"/>
          <w:b w:val="0"/>
          <w:bCs w:val="0"/>
          <w:sz w:val="48"/>
          <w:szCs w:val="48"/>
          <w:lang w:eastAsia="zh-CN"/>
        </w:rPr>
      </w:pPr>
      <w:r>
        <w:rPr>
          <w:rFonts w:hint="eastAsia" w:ascii="方正小标宋简体" w:hAnsi="方正小标宋简体" w:eastAsia="方正小标宋简体" w:cs="方正小标宋简体"/>
          <w:b w:val="0"/>
          <w:bCs w:val="0"/>
          <w:sz w:val="48"/>
          <w:szCs w:val="48"/>
          <w:lang w:eastAsia="zh-CN"/>
        </w:rPr>
        <w:t>第四部分  2026年部门预算表</w:t>
      </w:r>
    </w:p>
    <w:p w14:paraId="4A3DC1C1">
      <w:pPr>
        <w:keepNext w:val="0"/>
        <w:keepLines w:val="0"/>
        <w:pageBreakBefore w:val="0"/>
        <w:widowControl w:val="0"/>
        <w:kinsoku/>
        <w:wordWrap/>
        <w:overflowPunct/>
        <w:topLinePunct w:val="0"/>
        <w:autoSpaceDE/>
        <w:autoSpaceDN/>
        <w:bidi w:val="0"/>
        <w:adjustRightInd w:val="0"/>
        <w:snapToGrid/>
        <w:spacing w:line="600" w:lineRule="exact"/>
        <w:ind w:left="0" w:leftChars="0"/>
        <w:jc w:val="both"/>
        <w:textAlignment w:val="baseline"/>
        <w:rPr>
          <w:rFonts w:hint="eastAsia" w:ascii="仿宋_GB2312" w:hAnsi="仿宋_GB2312" w:eastAsia="仿宋_GB2312" w:cs="仿宋_GB2312"/>
          <w:sz w:val="28"/>
          <w:szCs w:val="28"/>
        </w:rPr>
      </w:pPr>
    </w:p>
    <w:p w14:paraId="7DB742C3">
      <w:pPr>
        <w:keepNext w:val="0"/>
        <w:keepLines w:val="0"/>
        <w:pageBreakBefore w:val="0"/>
        <w:widowControl w:val="0"/>
        <w:kinsoku/>
        <w:wordWrap/>
        <w:overflowPunct/>
        <w:topLinePunct w:val="0"/>
        <w:autoSpaceDE/>
        <w:autoSpaceDN/>
        <w:bidi w:val="0"/>
        <w:adjustRightInd w:val="0"/>
        <w:snapToGrid/>
        <w:spacing w:line="600" w:lineRule="exact"/>
        <w:ind w:left="0" w:left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收支预算总表</w:t>
      </w:r>
    </w:p>
    <w:p w14:paraId="54995024">
      <w:pPr>
        <w:keepNext w:val="0"/>
        <w:keepLines w:val="0"/>
        <w:pageBreakBefore w:val="0"/>
        <w:widowControl w:val="0"/>
        <w:kinsoku/>
        <w:wordWrap/>
        <w:overflowPunct/>
        <w:topLinePunct w:val="0"/>
        <w:autoSpaceDE/>
        <w:autoSpaceDN/>
        <w:bidi w:val="0"/>
        <w:adjustRightInd w:val="0"/>
        <w:snapToGrid/>
        <w:spacing w:line="600" w:lineRule="exact"/>
        <w:ind w:left="0" w:left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收入预算总表</w:t>
      </w:r>
    </w:p>
    <w:p w14:paraId="549A6FFB">
      <w:pPr>
        <w:keepNext w:val="0"/>
        <w:keepLines w:val="0"/>
        <w:pageBreakBefore w:val="0"/>
        <w:widowControl w:val="0"/>
        <w:kinsoku/>
        <w:wordWrap/>
        <w:overflowPunct/>
        <w:topLinePunct w:val="0"/>
        <w:autoSpaceDE/>
        <w:autoSpaceDN/>
        <w:bidi w:val="0"/>
        <w:adjustRightInd w:val="0"/>
        <w:snapToGrid/>
        <w:spacing w:line="600" w:lineRule="exact"/>
        <w:ind w:left="0" w:left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支出预算总表</w:t>
      </w:r>
    </w:p>
    <w:p w14:paraId="51AC04AF">
      <w:pPr>
        <w:keepNext w:val="0"/>
        <w:keepLines w:val="0"/>
        <w:pageBreakBefore w:val="0"/>
        <w:widowControl w:val="0"/>
        <w:kinsoku/>
        <w:wordWrap/>
        <w:overflowPunct/>
        <w:topLinePunct w:val="0"/>
        <w:autoSpaceDE/>
        <w:autoSpaceDN/>
        <w:bidi w:val="0"/>
        <w:adjustRightInd w:val="0"/>
        <w:snapToGrid/>
        <w:spacing w:line="600" w:lineRule="exact"/>
        <w:ind w:left="0" w:left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财政拨款收支预算总表</w:t>
      </w:r>
    </w:p>
    <w:p w14:paraId="621B52E1">
      <w:pPr>
        <w:keepNext w:val="0"/>
        <w:keepLines w:val="0"/>
        <w:pageBreakBefore w:val="0"/>
        <w:widowControl w:val="0"/>
        <w:kinsoku/>
        <w:wordWrap/>
        <w:overflowPunct/>
        <w:topLinePunct w:val="0"/>
        <w:autoSpaceDE/>
        <w:autoSpaceDN/>
        <w:bidi w:val="0"/>
        <w:adjustRightInd w:val="0"/>
        <w:snapToGrid/>
        <w:spacing w:line="600" w:lineRule="exact"/>
        <w:ind w:left="0" w:left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财政拨款一般公共预算支出预算表</w:t>
      </w:r>
    </w:p>
    <w:p w14:paraId="139B8145">
      <w:pPr>
        <w:keepNext w:val="0"/>
        <w:keepLines w:val="0"/>
        <w:pageBreakBefore w:val="0"/>
        <w:widowControl w:val="0"/>
        <w:kinsoku/>
        <w:wordWrap/>
        <w:overflowPunct/>
        <w:topLinePunct w:val="0"/>
        <w:autoSpaceDE/>
        <w:autoSpaceDN/>
        <w:bidi w:val="0"/>
        <w:adjustRightInd w:val="0"/>
        <w:snapToGrid/>
        <w:spacing w:line="600" w:lineRule="exact"/>
        <w:ind w:left="0" w:left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财政拨款一般公共预算基本支出预算表</w:t>
      </w:r>
    </w:p>
    <w:p w14:paraId="42B3E9B7">
      <w:pPr>
        <w:keepNext w:val="0"/>
        <w:keepLines w:val="0"/>
        <w:pageBreakBefore w:val="0"/>
        <w:widowControl w:val="0"/>
        <w:kinsoku/>
        <w:wordWrap/>
        <w:overflowPunct/>
        <w:topLinePunct w:val="0"/>
        <w:autoSpaceDE/>
        <w:autoSpaceDN/>
        <w:bidi w:val="0"/>
        <w:adjustRightInd w:val="0"/>
        <w:snapToGrid/>
        <w:spacing w:line="600" w:lineRule="exact"/>
        <w:ind w:left="0" w:left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财政拨款政府性基金预算支出预算表</w:t>
      </w:r>
    </w:p>
    <w:p w14:paraId="6C663A6D">
      <w:pPr>
        <w:keepNext w:val="0"/>
        <w:keepLines w:val="0"/>
        <w:pageBreakBefore w:val="0"/>
        <w:widowControl w:val="0"/>
        <w:kinsoku/>
        <w:wordWrap/>
        <w:overflowPunct/>
        <w:topLinePunct w:val="0"/>
        <w:autoSpaceDE/>
        <w:autoSpaceDN/>
        <w:bidi w:val="0"/>
        <w:adjustRightInd w:val="0"/>
        <w:snapToGrid/>
        <w:spacing w:line="600" w:lineRule="exact"/>
        <w:ind w:left="0" w:left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财政拨款一般公共预算“三公”经费支出预算表</w:t>
      </w:r>
    </w:p>
    <w:p w14:paraId="266BA10F">
      <w:pPr>
        <w:keepNext w:val="0"/>
        <w:keepLines w:val="0"/>
        <w:pageBreakBefore w:val="0"/>
        <w:widowControl w:val="0"/>
        <w:kinsoku/>
        <w:wordWrap/>
        <w:overflowPunct/>
        <w:topLinePunct w:val="0"/>
        <w:autoSpaceDE/>
        <w:autoSpaceDN/>
        <w:bidi w:val="0"/>
        <w:adjustRightInd w:val="0"/>
        <w:snapToGrid/>
        <w:spacing w:line="600" w:lineRule="exact"/>
        <w:ind w:left="0" w:left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财政拨款政府采购预算表</w:t>
      </w:r>
    </w:p>
    <w:p w14:paraId="6BE0C791">
      <w:pPr>
        <w:keepNext w:val="0"/>
        <w:keepLines w:val="0"/>
        <w:pageBreakBefore w:val="0"/>
        <w:widowControl w:val="0"/>
        <w:kinsoku/>
        <w:wordWrap/>
        <w:overflowPunct/>
        <w:topLinePunct w:val="0"/>
        <w:autoSpaceDE/>
        <w:autoSpaceDN/>
        <w:bidi w:val="0"/>
        <w:adjustRightInd w:val="0"/>
        <w:snapToGrid/>
        <w:spacing w:line="600" w:lineRule="exact"/>
        <w:ind w:left="0" w:left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 xml:space="preserve">项目支出预算表  </w:t>
      </w:r>
    </w:p>
    <w:p w14:paraId="7F350EFA">
      <w:pPr>
        <w:keepNext w:val="0"/>
        <w:keepLines w:val="0"/>
        <w:pageBreakBefore w:val="0"/>
        <w:widowControl w:val="0"/>
        <w:kinsoku/>
        <w:wordWrap/>
        <w:overflowPunct/>
        <w:topLinePunct w:val="0"/>
        <w:autoSpaceDE/>
        <w:autoSpaceDN/>
        <w:bidi w:val="0"/>
        <w:adjustRightInd w:val="0"/>
        <w:snapToGrid/>
        <w:spacing w:line="600" w:lineRule="exact"/>
        <w:ind w:left="0" w:left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国有资本经营预算支出</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表</w:t>
      </w:r>
    </w:p>
    <w:p w14:paraId="15D18165">
      <w:pPr>
        <w:keepNext w:val="0"/>
        <w:keepLines w:val="0"/>
        <w:pageBreakBefore w:val="0"/>
        <w:widowControl w:val="0"/>
        <w:kinsoku/>
        <w:wordWrap/>
        <w:overflowPunct/>
        <w:topLinePunct w:val="0"/>
        <w:autoSpaceDE/>
        <w:autoSpaceDN/>
        <w:bidi w:val="0"/>
        <w:adjustRightInd w:val="0"/>
        <w:snapToGrid/>
        <w:spacing w:line="600" w:lineRule="exact"/>
        <w:ind w:left="0" w:left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项目支出绩效目标表</w:t>
      </w:r>
    </w:p>
    <w:p w14:paraId="35109810">
      <w:pPr>
        <w:keepNext w:val="0"/>
        <w:keepLines w:val="0"/>
        <w:pageBreakBefore w:val="0"/>
        <w:widowControl w:val="0"/>
        <w:kinsoku/>
        <w:wordWrap/>
        <w:overflowPunct/>
        <w:topLinePunct w:val="0"/>
        <w:autoSpaceDE/>
        <w:autoSpaceDN/>
        <w:bidi w:val="0"/>
        <w:adjustRightInd w:val="0"/>
        <w:snapToGrid/>
        <w:spacing w:line="600" w:lineRule="exact"/>
        <w:ind w:left="0" w:left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十三、关于空表的说明</w:t>
      </w:r>
      <w:r>
        <w:rPr>
          <w:rFonts w:hint="eastAsia" w:ascii="仿宋_GB2312" w:hAnsi="仿宋_GB2312" w:eastAsia="仿宋_GB2312" w:cs="仿宋_GB2312"/>
          <w:sz w:val="32"/>
          <w:szCs w:val="32"/>
        </w:rPr>
        <w:tab/>
      </w:r>
    </w:p>
    <w:p w14:paraId="7DA44A5F">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1、本部门</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财政拨款政府性基金预算支出预算表为空表。</w:t>
      </w:r>
    </w:p>
    <w:p w14:paraId="5B75B1C5">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2、本部门</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国有资本经营预算支出</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表为空表。</w:t>
      </w:r>
    </w:p>
    <w:p w14:paraId="1A10E003">
      <w:pPr>
        <w:rPr>
          <w:rFonts w:hint="eastAsia"/>
          <w:lang w:eastAsia="zh-CN"/>
        </w:rPr>
      </w:pPr>
      <w:bookmarkStart w:id="14" w:name="_GoBack"/>
      <w:bookmarkEnd w:id="14"/>
    </w:p>
    <w:sectPr>
      <w:headerReference r:id="rId7" w:type="default"/>
      <w:footerReference r:id="rId8" w:type="default"/>
      <w:pgSz w:w="11907" w:h="16840"/>
      <w:pgMar w:top="2098" w:right="1361" w:bottom="1304" w:left="1474" w:header="765" w:footer="765" w:gutter="0"/>
      <w:pgNumType w:fmt="numberInDash"/>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erif">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EB1EE">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649DBF">
                          <w:pPr>
                            <w:pStyle w:val="6"/>
                            <w:jc w:val="center"/>
                            <w:rPr>
                              <w:rFonts w:ascii="仿宋_GB2312" w:hAnsi="仿宋_GB2312"/>
                              <w:sz w:val="18"/>
                            </w:rPr>
                          </w:pPr>
                          <w:r>
                            <w:rPr>
                              <w:rFonts w:ascii="仿宋_GB2312" w:hAnsi="仿宋_GB2312"/>
                              <w:sz w:val="18"/>
                            </w:rPr>
                            <w:fldChar w:fldCharType="begin"/>
                          </w:r>
                          <w:r>
                            <w:rPr>
                              <w:rFonts w:ascii="仿宋_GB2312" w:hAnsi="仿宋_GB2312"/>
                              <w:sz w:val="18"/>
                            </w:rPr>
                            <w:instrText xml:space="preserve">PAGE   \* MERGEFORMAT</w:instrText>
                          </w:r>
                          <w:r>
                            <w:rPr>
                              <w:rFonts w:ascii="仿宋_GB2312" w:hAnsi="仿宋_GB2312"/>
                              <w:sz w:val="18"/>
                            </w:rPr>
                            <w:fldChar w:fldCharType="separate"/>
                          </w:r>
                          <w:r>
                            <w:rPr>
                              <w:rFonts w:ascii="仿宋_GB2312" w:hAnsi="仿宋_GB2312"/>
                              <w:sz w:val="18"/>
                              <w:lang w:val="zh-CN"/>
                            </w:rPr>
                            <w:t>-</w:t>
                          </w:r>
                          <w:r>
                            <w:rPr>
                              <w:rFonts w:ascii="仿宋_GB2312" w:hAnsi="仿宋_GB2312"/>
                              <w:sz w:val="18"/>
                            </w:rPr>
                            <w:t xml:space="preserve"> 5 -</w:t>
                          </w:r>
                          <w:r>
                            <w:rPr>
                              <w:rFonts w:ascii="仿宋_GB2312" w:hAnsi="仿宋_GB2312"/>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7B649DBF">
                    <w:pPr>
                      <w:pStyle w:val="6"/>
                      <w:jc w:val="center"/>
                      <w:rPr>
                        <w:rFonts w:ascii="仿宋_GB2312" w:hAnsi="仿宋_GB2312"/>
                        <w:sz w:val="18"/>
                      </w:rPr>
                    </w:pPr>
                    <w:r>
                      <w:rPr>
                        <w:rFonts w:ascii="仿宋_GB2312" w:hAnsi="仿宋_GB2312"/>
                        <w:sz w:val="18"/>
                      </w:rPr>
                      <w:fldChar w:fldCharType="begin"/>
                    </w:r>
                    <w:r>
                      <w:rPr>
                        <w:rFonts w:ascii="仿宋_GB2312" w:hAnsi="仿宋_GB2312"/>
                        <w:sz w:val="18"/>
                      </w:rPr>
                      <w:instrText xml:space="preserve">PAGE   \* MERGEFORMAT</w:instrText>
                    </w:r>
                    <w:r>
                      <w:rPr>
                        <w:rFonts w:ascii="仿宋_GB2312" w:hAnsi="仿宋_GB2312"/>
                        <w:sz w:val="18"/>
                      </w:rPr>
                      <w:fldChar w:fldCharType="separate"/>
                    </w:r>
                    <w:r>
                      <w:rPr>
                        <w:rFonts w:ascii="仿宋_GB2312" w:hAnsi="仿宋_GB2312"/>
                        <w:sz w:val="18"/>
                        <w:lang w:val="zh-CN"/>
                      </w:rPr>
                      <w:t>-</w:t>
                    </w:r>
                    <w:r>
                      <w:rPr>
                        <w:rFonts w:ascii="仿宋_GB2312" w:hAnsi="仿宋_GB2312"/>
                        <w:sz w:val="18"/>
                      </w:rPr>
                      <w:t xml:space="preserve"> 5 -</w:t>
                    </w:r>
                    <w:r>
                      <w:rPr>
                        <w:rFonts w:ascii="仿宋_GB2312" w:hAnsi="仿宋_GB2312"/>
                        <w:sz w:val="18"/>
                      </w:rPr>
                      <w:fldChar w:fldCharType="end"/>
                    </w:r>
                  </w:p>
                </w:txbxContent>
              </v:textbox>
            </v:shape>
          </w:pict>
        </mc:Fallback>
      </mc:AlternateContent>
    </w:r>
  </w:p>
  <w:p w14:paraId="6CC21B63">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49A4">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37EC11">
                          <w:pPr>
                            <w:pStyle w:val="6"/>
                            <w:jc w:val="center"/>
                            <w:rPr>
                              <w:rFonts w:ascii="仿宋_GB2312" w:hAnsi="仿宋_GB2312"/>
                              <w:sz w:val="18"/>
                            </w:rPr>
                          </w:pPr>
                          <w:r>
                            <w:rPr>
                              <w:rFonts w:ascii="仿宋_GB2312" w:hAnsi="仿宋_GB2312"/>
                              <w:sz w:val="18"/>
                            </w:rPr>
                            <w:fldChar w:fldCharType="begin"/>
                          </w:r>
                          <w:r>
                            <w:rPr>
                              <w:rFonts w:ascii="仿宋_GB2312" w:hAnsi="仿宋_GB2312"/>
                              <w:sz w:val="18"/>
                            </w:rPr>
                            <w:instrText xml:space="preserve">PAGE   \* MERGEFORMAT</w:instrText>
                          </w:r>
                          <w:r>
                            <w:rPr>
                              <w:rFonts w:ascii="仿宋_GB2312" w:hAnsi="仿宋_GB2312"/>
                              <w:sz w:val="18"/>
                            </w:rPr>
                            <w:fldChar w:fldCharType="separate"/>
                          </w:r>
                          <w:r>
                            <w:rPr>
                              <w:rFonts w:ascii="仿宋_GB2312" w:hAnsi="仿宋_GB2312"/>
                              <w:sz w:val="18"/>
                              <w:lang w:val="zh-CN"/>
                            </w:rPr>
                            <w:t>-</w:t>
                          </w:r>
                          <w:r>
                            <w:rPr>
                              <w:rFonts w:ascii="仿宋_GB2312" w:hAnsi="仿宋_GB2312"/>
                              <w:sz w:val="18"/>
                            </w:rPr>
                            <w:t xml:space="preserve"> 5 -</w:t>
                          </w:r>
                          <w:r>
                            <w:rPr>
                              <w:rFonts w:ascii="仿宋_GB2312" w:hAnsi="仿宋_GB2312"/>
                              <w:sz w:val="1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2837EC11">
                    <w:pPr>
                      <w:pStyle w:val="6"/>
                      <w:jc w:val="center"/>
                      <w:rPr>
                        <w:rFonts w:ascii="仿宋_GB2312" w:hAnsi="仿宋_GB2312"/>
                        <w:sz w:val="18"/>
                      </w:rPr>
                    </w:pPr>
                    <w:r>
                      <w:rPr>
                        <w:rFonts w:ascii="仿宋_GB2312" w:hAnsi="仿宋_GB2312"/>
                        <w:sz w:val="18"/>
                      </w:rPr>
                      <w:fldChar w:fldCharType="begin"/>
                    </w:r>
                    <w:r>
                      <w:rPr>
                        <w:rFonts w:ascii="仿宋_GB2312" w:hAnsi="仿宋_GB2312"/>
                        <w:sz w:val="18"/>
                      </w:rPr>
                      <w:instrText xml:space="preserve">PAGE   \* MERGEFORMAT</w:instrText>
                    </w:r>
                    <w:r>
                      <w:rPr>
                        <w:rFonts w:ascii="仿宋_GB2312" w:hAnsi="仿宋_GB2312"/>
                        <w:sz w:val="18"/>
                      </w:rPr>
                      <w:fldChar w:fldCharType="separate"/>
                    </w:r>
                    <w:r>
                      <w:rPr>
                        <w:rFonts w:ascii="仿宋_GB2312" w:hAnsi="仿宋_GB2312"/>
                        <w:sz w:val="18"/>
                        <w:lang w:val="zh-CN"/>
                      </w:rPr>
                      <w:t>-</w:t>
                    </w:r>
                    <w:r>
                      <w:rPr>
                        <w:rFonts w:ascii="仿宋_GB2312" w:hAnsi="仿宋_GB2312"/>
                        <w:sz w:val="18"/>
                      </w:rPr>
                      <w:t xml:space="preserve"> 5 -</w:t>
                    </w:r>
                    <w:r>
                      <w:rPr>
                        <w:rFonts w:ascii="仿宋_GB2312" w:hAnsi="仿宋_GB2312"/>
                        <w:sz w:val="18"/>
                      </w:rPr>
                      <w:fldChar w:fldCharType="end"/>
                    </w:r>
                  </w:p>
                </w:txbxContent>
              </v:textbox>
            </v:shape>
          </w:pict>
        </mc:Fallback>
      </mc:AlternateContent>
    </w:r>
  </w:p>
  <w:p w14:paraId="61211017">
    <w:pPr>
      <w:pStyle w:val="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B04C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097E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iNmNjMzE3ZWEwZWZjNDMyMDU1YzY5M2ExYzdmOWIifQ=="/>
  </w:docVars>
  <w:rsids>
    <w:rsidRoot w:val="00937D77"/>
    <w:rsid w:val="00000C3D"/>
    <w:rsid w:val="0001204D"/>
    <w:rsid w:val="00014B7E"/>
    <w:rsid w:val="000162FC"/>
    <w:rsid w:val="00020DAE"/>
    <w:rsid w:val="00024FCC"/>
    <w:rsid w:val="00025DCF"/>
    <w:rsid w:val="00026B49"/>
    <w:rsid w:val="000279BC"/>
    <w:rsid w:val="00035889"/>
    <w:rsid w:val="0003736F"/>
    <w:rsid w:val="00040A70"/>
    <w:rsid w:val="000546FB"/>
    <w:rsid w:val="00055156"/>
    <w:rsid w:val="000561F0"/>
    <w:rsid w:val="00066DA5"/>
    <w:rsid w:val="00081133"/>
    <w:rsid w:val="00082771"/>
    <w:rsid w:val="00093F1A"/>
    <w:rsid w:val="00097C4D"/>
    <w:rsid w:val="000A4C45"/>
    <w:rsid w:val="000A6A5A"/>
    <w:rsid w:val="000B1B04"/>
    <w:rsid w:val="000B5758"/>
    <w:rsid w:val="000C211F"/>
    <w:rsid w:val="000C3FFB"/>
    <w:rsid w:val="000C5349"/>
    <w:rsid w:val="000C704F"/>
    <w:rsid w:val="000D1BEF"/>
    <w:rsid w:val="000E221E"/>
    <w:rsid w:val="000E5A14"/>
    <w:rsid w:val="000E7C91"/>
    <w:rsid w:val="000F2DDD"/>
    <w:rsid w:val="00103D12"/>
    <w:rsid w:val="001044EF"/>
    <w:rsid w:val="00107793"/>
    <w:rsid w:val="00107F74"/>
    <w:rsid w:val="00115667"/>
    <w:rsid w:val="00141FB3"/>
    <w:rsid w:val="00143640"/>
    <w:rsid w:val="00146622"/>
    <w:rsid w:val="00151976"/>
    <w:rsid w:val="00151DB8"/>
    <w:rsid w:val="00151E56"/>
    <w:rsid w:val="001574DB"/>
    <w:rsid w:val="001616F8"/>
    <w:rsid w:val="001639E6"/>
    <w:rsid w:val="0016548E"/>
    <w:rsid w:val="00167781"/>
    <w:rsid w:val="0017420B"/>
    <w:rsid w:val="0019552B"/>
    <w:rsid w:val="001A1316"/>
    <w:rsid w:val="001A58F7"/>
    <w:rsid w:val="001B47FB"/>
    <w:rsid w:val="001C525C"/>
    <w:rsid w:val="001E4814"/>
    <w:rsid w:val="001F43D8"/>
    <w:rsid w:val="001F69BB"/>
    <w:rsid w:val="0020344E"/>
    <w:rsid w:val="002114E1"/>
    <w:rsid w:val="00217977"/>
    <w:rsid w:val="00222775"/>
    <w:rsid w:val="00223D56"/>
    <w:rsid w:val="00225E9E"/>
    <w:rsid w:val="002319C9"/>
    <w:rsid w:val="00235DDA"/>
    <w:rsid w:val="002456BF"/>
    <w:rsid w:val="00252DD7"/>
    <w:rsid w:val="002568D5"/>
    <w:rsid w:val="0026664B"/>
    <w:rsid w:val="00290082"/>
    <w:rsid w:val="00290EAC"/>
    <w:rsid w:val="00293ACA"/>
    <w:rsid w:val="002A1782"/>
    <w:rsid w:val="002A23DC"/>
    <w:rsid w:val="002A3DBF"/>
    <w:rsid w:val="002D67AE"/>
    <w:rsid w:val="002D715E"/>
    <w:rsid w:val="002E3C02"/>
    <w:rsid w:val="002F0601"/>
    <w:rsid w:val="002F0F40"/>
    <w:rsid w:val="002F0F49"/>
    <w:rsid w:val="00304097"/>
    <w:rsid w:val="003147A8"/>
    <w:rsid w:val="0032641E"/>
    <w:rsid w:val="003407F4"/>
    <w:rsid w:val="00343F3E"/>
    <w:rsid w:val="0035053A"/>
    <w:rsid w:val="0035182A"/>
    <w:rsid w:val="003609DB"/>
    <w:rsid w:val="00361453"/>
    <w:rsid w:val="00364050"/>
    <w:rsid w:val="003734E1"/>
    <w:rsid w:val="00381526"/>
    <w:rsid w:val="00386D08"/>
    <w:rsid w:val="00391275"/>
    <w:rsid w:val="003929CE"/>
    <w:rsid w:val="003A5370"/>
    <w:rsid w:val="003A7D0E"/>
    <w:rsid w:val="003B24BB"/>
    <w:rsid w:val="003B3A66"/>
    <w:rsid w:val="003C1B4D"/>
    <w:rsid w:val="003C2CCF"/>
    <w:rsid w:val="003D48A4"/>
    <w:rsid w:val="003D647A"/>
    <w:rsid w:val="003E3EA7"/>
    <w:rsid w:val="003F4CDB"/>
    <w:rsid w:val="00404E18"/>
    <w:rsid w:val="00406A09"/>
    <w:rsid w:val="004139C1"/>
    <w:rsid w:val="00415E07"/>
    <w:rsid w:val="004178F1"/>
    <w:rsid w:val="00421C5C"/>
    <w:rsid w:val="00424A5A"/>
    <w:rsid w:val="00452C1F"/>
    <w:rsid w:val="00462D69"/>
    <w:rsid w:val="004645C1"/>
    <w:rsid w:val="004654FD"/>
    <w:rsid w:val="004660E2"/>
    <w:rsid w:val="0046727B"/>
    <w:rsid w:val="0047004A"/>
    <w:rsid w:val="00472621"/>
    <w:rsid w:val="00474C09"/>
    <w:rsid w:val="0048352E"/>
    <w:rsid w:val="004A5DF5"/>
    <w:rsid w:val="004A6EE3"/>
    <w:rsid w:val="004B0888"/>
    <w:rsid w:val="004C0EED"/>
    <w:rsid w:val="004C1F92"/>
    <w:rsid w:val="004C3DEF"/>
    <w:rsid w:val="004D2A21"/>
    <w:rsid w:val="004E5901"/>
    <w:rsid w:val="004E7F96"/>
    <w:rsid w:val="004F1D8F"/>
    <w:rsid w:val="004F304B"/>
    <w:rsid w:val="0050463F"/>
    <w:rsid w:val="00513E0C"/>
    <w:rsid w:val="00531F24"/>
    <w:rsid w:val="00534FC8"/>
    <w:rsid w:val="005442FD"/>
    <w:rsid w:val="00547CCA"/>
    <w:rsid w:val="0055334A"/>
    <w:rsid w:val="0056218D"/>
    <w:rsid w:val="00563DE0"/>
    <w:rsid w:val="005717FD"/>
    <w:rsid w:val="00577762"/>
    <w:rsid w:val="00585D27"/>
    <w:rsid w:val="0058731A"/>
    <w:rsid w:val="00587691"/>
    <w:rsid w:val="0059010F"/>
    <w:rsid w:val="0059248B"/>
    <w:rsid w:val="005B0F7B"/>
    <w:rsid w:val="005B3956"/>
    <w:rsid w:val="005B5E4D"/>
    <w:rsid w:val="005C0A1F"/>
    <w:rsid w:val="005C3C59"/>
    <w:rsid w:val="005D0C85"/>
    <w:rsid w:val="005D5F3F"/>
    <w:rsid w:val="005E0436"/>
    <w:rsid w:val="005E595A"/>
    <w:rsid w:val="005E5D2D"/>
    <w:rsid w:val="005E642E"/>
    <w:rsid w:val="005F3D28"/>
    <w:rsid w:val="005F52AE"/>
    <w:rsid w:val="005F6E16"/>
    <w:rsid w:val="00602A30"/>
    <w:rsid w:val="006054BF"/>
    <w:rsid w:val="00606314"/>
    <w:rsid w:val="00617301"/>
    <w:rsid w:val="0063284A"/>
    <w:rsid w:val="00646289"/>
    <w:rsid w:val="00646C58"/>
    <w:rsid w:val="0065320E"/>
    <w:rsid w:val="00664752"/>
    <w:rsid w:val="00664FC9"/>
    <w:rsid w:val="00673ABE"/>
    <w:rsid w:val="006777CE"/>
    <w:rsid w:val="006934E1"/>
    <w:rsid w:val="00694200"/>
    <w:rsid w:val="0069616E"/>
    <w:rsid w:val="006A0604"/>
    <w:rsid w:val="006A7042"/>
    <w:rsid w:val="006A7123"/>
    <w:rsid w:val="006A71BC"/>
    <w:rsid w:val="006B0F4B"/>
    <w:rsid w:val="006D456D"/>
    <w:rsid w:val="006D6170"/>
    <w:rsid w:val="006D7313"/>
    <w:rsid w:val="006E5C14"/>
    <w:rsid w:val="006F408B"/>
    <w:rsid w:val="00703777"/>
    <w:rsid w:val="00704BD7"/>
    <w:rsid w:val="00707437"/>
    <w:rsid w:val="00712D13"/>
    <w:rsid w:val="00716804"/>
    <w:rsid w:val="00721A2C"/>
    <w:rsid w:val="00737A20"/>
    <w:rsid w:val="0074381E"/>
    <w:rsid w:val="00747913"/>
    <w:rsid w:val="00754417"/>
    <w:rsid w:val="00774B41"/>
    <w:rsid w:val="00787215"/>
    <w:rsid w:val="00795DC2"/>
    <w:rsid w:val="007A71D6"/>
    <w:rsid w:val="007B750A"/>
    <w:rsid w:val="007C0CD1"/>
    <w:rsid w:val="007C20C6"/>
    <w:rsid w:val="007C220B"/>
    <w:rsid w:val="007C257B"/>
    <w:rsid w:val="007C4FF4"/>
    <w:rsid w:val="007E0D5B"/>
    <w:rsid w:val="007E2276"/>
    <w:rsid w:val="007E418A"/>
    <w:rsid w:val="007F218B"/>
    <w:rsid w:val="00810D0C"/>
    <w:rsid w:val="00821776"/>
    <w:rsid w:val="00824025"/>
    <w:rsid w:val="008277F5"/>
    <w:rsid w:val="0083475B"/>
    <w:rsid w:val="008370F2"/>
    <w:rsid w:val="00841058"/>
    <w:rsid w:val="00844953"/>
    <w:rsid w:val="00846C2E"/>
    <w:rsid w:val="00847B3C"/>
    <w:rsid w:val="00851ECC"/>
    <w:rsid w:val="00861D45"/>
    <w:rsid w:val="00866211"/>
    <w:rsid w:val="00890F33"/>
    <w:rsid w:val="00895DA6"/>
    <w:rsid w:val="008A2192"/>
    <w:rsid w:val="008A584F"/>
    <w:rsid w:val="008B0BE1"/>
    <w:rsid w:val="008C6A37"/>
    <w:rsid w:val="008D0B65"/>
    <w:rsid w:val="008D7A7F"/>
    <w:rsid w:val="008E4B67"/>
    <w:rsid w:val="008F0A65"/>
    <w:rsid w:val="008F2622"/>
    <w:rsid w:val="008F7F2F"/>
    <w:rsid w:val="00904239"/>
    <w:rsid w:val="0090543A"/>
    <w:rsid w:val="00912DED"/>
    <w:rsid w:val="009224E2"/>
    <w:rsid w:val="00922C71"/>
    <w:rsid w:val="00926533"/>
    <w:rsid w:val="00931ADF"/>
    <w:rsid w:val="009339F5"/>
    <w:rsid w:val="00933DD8"/>
    <w:rsid w:val="00934F3E"/>
    <w:rsid w:val="00937D77"/>
    <w:rsid w:val="00946BC0"/>
    <w:rsid w:val="00962587"/>
    <w:rsid w:val="009822BE"/>
    <w:rsid w:val="00990C9A"/>
    <w:rsid w:val="00991992"/>
    <w:rsid w:val="009970B7"/>
    <w:rsid w:val="009A08A7"/>
    <w:rsid w:val="009A3307"/>
    <w:rsid w:val="009A45FD"/>
    <w:rsid w:val="009A47C1"/>
    <w:rsid w:val="009B0D59"/>
    <w:rsid w:val="009B0FCC"/>
    <w:rsid w:val="009C3FA3"/>
    <w:rsid w:val="009C4227"/>
    <w:rsid w:val="009C5EC4"/>
    <w:rsid w:val="009D1FD1"/>
    <w:rsid w:val="009D2134"/>
    <w:rsid w:val="009E6A2C"/>
    <w:rsid w:val="009F0927"/>
    <w:rsid w:val="009F773B"/>
    <w:rsid w:val="00A01A53"/>
    <w:rsid w:val="00A020B8"/>
    <w:rsid w:val="00A1342C"/>
    <w:rsid w:val="00A155CC"/>
    <w:rsid w:val="00A169EE"/>
    <w:rsid w:val="00A25266"/>
    <w:rsid w:val="00A325D0"/>
    <w:rsid w:val="00A37FB3"/>
    <w:rsid w:val="00A410A3"/>
    <w:rsid w:val="00A43941"/>
    <w:rsid w:val="00A47F4B"/>
    <w:rsid w:val="00A50357"/>
    <w:rsid w:val="00A52A4D"/>
    <w:rsid w:val="00A54C43"/>
    <w:rsid w:val="00A54C55"/>
    <w:rsid w:val="00A54DBE"/>
    <w:rsid w:val="00A62D36"/>
    <w:rsid w:val="00A64852"/>
    <w:rsid w:val="00A74096"/>
    <w:rsid w:val="00A8081F"/>
    <w:rsid w:val="00A8708A"/>
    <w:rsid w:val="00A918A4"/>
    <w:rsid w:val="00A91C28"/>
    <w:rsid w:val="00A92155"/>
    <w:rsid w:val="00A96D04"/>
    <w:rsid w:val="00AB093E"/>
    <w:rsid w:val="00AB4CBC"/>
    <w:rsid w:val="00AB791A"/>
    <w:rsid w:val="00AC0500"/>
    <w:rsid w:val="00AC4DF4"/>
    <w:rsid w:val="00AD3AA5"/>
    <w:rsid w:val="00AD51D9"/>
    <w:rsid w:val="00AD6740"/>
    <w:rsid w:val="00AD6772"/>
    <w:rsid w:val="00AE14F7"/>
    <w:rsid w:val="00AE3DA6"/>
    <w:rsid w:val="00AF0A58"/>
    <w:rsid w:val="00AF121D"/>
    <w:rsid w:val="00AF38CA"/>
    <w:rsid w:val="00B03433"/>
    <w:rsid w:val="00B100CB"/>
    <w:rsid w:val="00B1463F"/>
    <w:rsid w:val="00B25010"/>
    <w:rsid w:val="00B2697E"/>
    <w:rsid w:val="00B370F4"/>
    <w:rsid w:val="00B4348E"/>
    <w:rsid w:val="00B45D35"/>
    <w:rsid w:val="00B47C04"/>
    <w:rsid w:val="00B53EC1"/>
    <w:rsid w:val="00B64EB1"/>
    <w:rsid w:val="00B66815"/>
    <w:rsid w:val="00B66FA2"/>
    <w:rsid w:val="00B757C2"/>
    <w:rsid w:val="00B90553"/>
    <w:rsid w:val="00B91BBF"/>
    <w:rsid w:val="00B93818"/>
    <w:rsid w:val="00BA2588"/>
    <w:rsid w:val="00BA3C6F"/>
    <w:rsid w:val="00BA407A"/>
    <w:rsid w:val="00BB359F"/>
    <w:rsid w:val="00BB423E"/>
    <w:rsid w:val="00BC0DF6"/>
    <w:rsid w:val="00BC3841"/>
    <w:rsid w:val="00BC5E5F"/>
    <w:rsid w:val="00BC76FF"/>
    <w:rsid w:val="00BF3615"/>
    <w:rsid w:val="00BF54DA"/>
    <w:rsid w:val="00BF7933"/>
    <w:rsid w:val="00C04BEF"/>
    <w:rsid w:val="00C1455B"/>
    <w:rsid w:val="00C148BB"/>
    <w:rsid w:val="00C149C4"/>
    <w:rsid w:val="00C17C17"/>
    <w:rsid w:val="00C24562"/>
    <w:rsid w:val="00C378B1"/>
    <w:rsid w:val="00C435D4"/>
    <w:rsid w:val="00C50520"/>
    <w:rsid w:val="00C529D3"/>
    <w:rsid w:val="00C617EC"/>
    <w:rsid w:val="00C63085"/>
    <w:rsid w:val="00C64338"/>
    <w:rsid w:val="00C64EC0"/>
    <w:rsid w:val="00C70269"/>
    <w:rsid w:val="00C77359"/>
    <w:rsid w:val="00C77971"/>
    <w:rsid w:val="00C8411D"/>
    <w:rsid w:val="00C84F06"/>
    <w:rsid w:val="00C96C5A"/>
    <w:rsid w:val="00CA1B19"/>
    <w:rsid w:val="00CA68E2"/>
    <w:rsid w:val="00CB0036"/>
    <w:rsid w:val="00CB119F"/>
    <w:rsid w:val="00CC066C"/>
    <w:rsid w:val="00CE05B1"/>
    <w:rsid w:val="00CE5A0A"/>
    <w:rsid w:val="00CE6EAE"/>
    <w:rsid w:val="00CE7964"/>
    <w:rsid w:val="00CE7AC9"/>
    <w:rsid w:val="00CE7B3E"/>
    <w:rsid w:val="00CF3C5E"/>
    <w:rsid w:val="00D055B0"/>
    <w:rsid w:val="00D07F2D"/>
    <w:rsid w:val="00D13688"/>
    <w:rsid w:val="00D14C1F"/>
    <w:rsid w:val="00D15FA8"/>
    <w:rsid w:val="00D23791"/>
    <w:rsid w:val="00D23D4D"/>
    <w:rsid w:val="00D27938"/>
    <w:rsid w:val="00D27B83"/>
    <w:rsid w:val="00D51CC5"/>
    <w:rsid w:val="00D55851"/>
    <w:rsid w:val="00D574FF"/>
    <w:rsid w:val="00D608C7"/>
    <w:rsid w:val="00D6212B"/>
    <w:rsid w:val="00D710A8"/>
    <w:rsid w:val="00D710BD"/>
    <w:rsid w:val="00D8056F"/>
    <w:rsid w:val="00D877BB"/>
    <w:rsid w:val="00D92B61"/>
    <w:rsid w:val="00DB28E7"/>
    <w:rsid w:val="00DB3194"/>
    <w:rsid w:val="00DC08C9"/>
    <w:rsid w:val="00DD6E45"/>
    <w:rsid w:val="00DE477D"/>
    <w:rsid w:val="00DE5D74"/>
    <w:rsid w:val="00DE7CDF"/>
    <w:rsid w:val="00DF0B81"/>
    <w:rsid w:val="00DF2103"/>
    <w:rsid w:val="00DF4EF1"/>
    <w:rsid w:val="00DF6570"/>
    <w:rsid w:val="00E01833"/>
    <w:rsid w:val="00E27103"/>
    <w:rsid w:val="00E37F65"/>
    <w:rsid w:val="00E51564"/>
    <w:rsid w:val="00E62551"/>
    <w:rsid w:val="00E65451"/>
    <w:rsid w:val="00E65BBC"/>
    <w:rsid w:val="00E74166"/>
    <w:rsid w:val="00E75826"/>
    <w:rsid w:val="00E804B9"/>
    <w:rsid w:val="00E8177A"/>
    <w:rsid w:val="00E839D5"/>
    <w:rsid w:val="00E872DD"/>
    <w:rsid w:val="00E90B38"/>
    <w:rsid w:val="00E90C89"/>
    <w:rsid w:val="00E95C79"/>
    <w:rsid w:val="00EA4975"/>
    <w:rsid w:val="00EA6A5C"/>
    <w:rsid w:val="00EA7E75"/>
    <w:rsid w:val="00EB06BE"/>
    <w:rsid w:val="00EB6AAF"/>
    <w:rsid w:val="00EE270C"/>
    <w:rsid w:val="00EE59CA"/>
    <w:rsid w:val="00EE6BD8"/>
    <w:rsid w:val="00EE6DAC"/>
    <w:rsid w:val="00F11449"/>
    <w:rsid w:val="00F211C0"/>
    <w:rsid w:val="00F224AE"/>
    <w:rsid w:val="00F34920"/>
    <w:rsid w:val="00F5220F"/>
    <w:rsid w:val="00F54E60"/>
    <w:rsid w:val="00F5688C"/>
    <w:rsid w:val="00F619E7"/>
    <w:rsid w:val="00F67141"/>
    <w:rsid w:val="00F729CE"/>
    <w:rsid w:val="00F81314"/>
    <w:rsid w:val="00F86B2D"/>
    <w:rsid w:val="00F86C27"/>
    <w:rsid w:val="00F86DF0"/>
    <w:rsid w:val="00F943D8"/>
    <w:rsid w:val="00FB4035"/>
    <w:rsid w:val="00FC57FA"/>
    <w:rsid w:val="00FD5E04"/>
    <w:rsid w:val="00FE3D89"/>
    <w:rsid w:val="00FE7BA7"/>
    <w:rsid w:val="00FF1C3D"/>
    <w:rsid w:val="01EE1C47"/>
    <w:rsid w:val="05F84C5E"/>
    <w:rsid w:val="0707044D"/>
    <w:rsid w:val="0CA4351B"/>
    <w:rsid w:val="0D555933"/>
    <w:rsid w:val="0D9C4D17"/>
    <w:rsid w:val="179300F7"/>
    <w:rsid w:val="18EC1F7A"/>
    <w:rsid w:val="1B042B65"/>
    <w:rsid w:val="1D681DEC"/>
    <w:rsid w:val="1D7F361D"/>
    <w:rsid w:val="243F5902"/>
    <w:rsid w:val="268758BC"/>
    <w:rsid w:val="29141B51"/>
    <w:rsid w:val="2B5F517B"/>
    <w:rsid w:val="2E2C627A"/>
    <w:rsid w:val="30380182"/>
    <w:rsid w:val="326B1352"/>
    <w:rsid w:val="3557428F"/>
    <w:rsid w:val="366F351A"/>
    <w:rsid w:val="3670605F"/>
    <w:rsid w:val="36B4EBB8"/>
    <w:rsid w:val="37FCFBDD"/>
    <w:rsid w:val="385B3D45"/>
    <w:rsid w:val="38DF0F19"/>
    <w:rsid w:val="3BAE6F78"/>
    <w:rsid w:val="3D407E3C"/>
    <w:rsid w:val="3E347DEF"/>
    <w:rsid w:val="3FCB28EB"/>
    <w:rsid w:val="401D6BE1"/>
    <w:rsid w:val="404A467A"/>
    <w:rsid w:val="40956B0D"/>
    <w:rsid w:val="47FDCDF3"/>
    <w:rsid w:val="4ADF5380"/>
    <w:rsid w:val="4BBA2EC2"/>
    <w:rsid w:val="4C8D4BB6"/>
    <w:rsid w:val="4E1E02D7"/>
    <w:rsid w:val="4F204931"/>
    <w:rsid w:val="5177198A"/>
    <w:rsid w:val="521B6588"/>
    <w:rsid w:val="52D664B6"/>
    <w:rsid w:val="55CB602D"/>
    <w:rsid w:val="55EB128A"/>
    <w:rsid w:val="58A76B9F"/>
    <w:rsid w:val="5A3E05F0"/>
    <w:rsid w:val="5CFD22CD"/>
    <w:rsid w:val="5D5A6C44"/>
    <w:rsid w:val="5FC1180C"/>
    <w:rsid w:val="5FF9333B"/>
    <w:rsid w:val="61882A90"/>
    <w:rsid w:val="63AC1D42"/>
    <w:rsid w:val="693A5856"/>
    <w:rsid w:val="6A2D5246"/>
    <w:rsid w:val="6B940248"/>
    <w:rsid w:val="6DE21791"/>
    <w:rsid w:val="6FAC5075"/>
    <w:rsid w:val="6FBC55A3"/>
    <w:rsid w:val="71B538E0"/>
    <w:rsid w:val="71FA771B"/>
    <w:rsid w:val="72520AD5"/>
    <w:rsid w:val="73A82400"/>
    <w:rsid w:val="748F20DD"/>
    <w:rsid w:val="77A77E82"/>
    <w:rsid w:val="77BE736E"/>
    <w:rsid w:val="79DC2A25"/>
    <w:rsid w:val="79FE3169"/>
    <w:rsid w:val="7BCD75C6"/>
    <w:rsid w:val="7ECE503D"/>
    <w:rsid w:val="7FD885B6"/>
    <w:rsid w:val="7FFF4223"/>
    <w:rsid w:val="8FEE0B1E"/>
    <w:rsid w:val="967FA9D3"/>
    <w:rsid w:val="BF3DF5C0"/>
    <w:rsid w:val="BFFF9C3A"/>
    <w:rsid w:val="CFDE2680"/>
    <w:rsid w:val="CFFCFB17"/>
    <w:rsid w:val="DB7BA227"/>
    <w:rsid w:val="DBB70F96"/>
    <w:rsid w:val="DCFCB04A"/>
    <w:rsid w:val="DEFFAB64"/>
    <w:rsid w:val="DF3AD55D"/>
    <w:rsid w:val="DFFF1E19"/>
    <w:rsid w:val="E7EB370F"/>
    <w:rsid w:val="EF558545"/>
    <w:rsid w:val="F0FEB611"/>
    <w:rsid w:val="F3E7BB80"/>
    <w:rsid w:val="F51C3534"/>
    <w:rsid w:val="FA5E3F2D"/>
    <w:rsid w:val="FDE5242F"/>
    <w:rsid w:val="FF7F20EE"/>
    <w:rsid w:val="FF9DC738"/>
    <w:rsid w:val="FFDFB7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S Serif" w:hAnsi="MS Serif"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MS Serif" w:hAnsi="MS Serif" w:eastAsia="宋体" w:cs="Times New Roman"/>
      <w:sz w:val="24"/>
      <w:lang w:val="en-US" w:eastAsia="zh-CN" w:bidi="ar-SA"/>
    </w:rPr>
  </w:style>
  <w:style w:type="paragraph" w:styleId="2">
    <w:name w:val="heading 1"/>
    <w:basedOn w:val="1"/>
    <w:next w:val="1"/>
    <w:link w:val="12"/>
    <w:qFormat/>
    <w:uiPriority w:val="9"/>
    <w:pPr>
      <w:keepNext/>
      <w:keepLines/>
      <w:spacing w:before="340" w:after="330" w:line="578" w:lineRule="atLeast"/>
      <w:outlineLvl w:val="0"/>
    </w:pPr>
    <w:rPr>
      <w:rFonts w:ascii="Times New Roman" w:hAnsi="Times New Roman"/>
      <w:b/>
      <w:bCs/>
      <w:kern w:val="44"/>
      <w:sz w:val="44"/>
      <w:szCs w:val="44"/>
    </w:rPr>
  </w:style>
  <w:style w:type="paragraph" w:styleId="3">
    <w:name w:val="heading 2"/>
    <w:basedOn w:val="1"/>
    <w:next w:val="1"/>
    <w:link w:val="14"/>
    <w:qFormat/>
    <w:uiPriority w:val="9"/>
    <w:pPr>
      <w:keepNext/>
      <w:keepLines/>
      <w:spacing w:before="260" w:after="260" w:line="416" w:lineRule="atLeast"/>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Document Map"/>
    <w:basedOn w:val="1"/>
    <w:semiHidden/>
    <w:uiPriority w:val="0"/>
    <w:pPr>
      <w:shd w:val="clear" w:color="auto" w:fill="000080"/>
    </w:pPr>
  </w:style>
  <w:style w:type="paragraph" w:styleId="5">
    <w:name w:val="Balloon Text"/>
    <w:basedOn w:val="1"/>
    <w:link w:val="15"/>
    <w:uiPriority w:val="0"/>
    <w:pPr>
      <w:spacing w:line="240" w:lineRule="auto"/>
    </w:pPr>
    <w:rPr>
      <w:sz w:val="18"/>
      <w:szCs w:val="18"/>
    </w:rPr>
  </w:style>
  <w:style w:type="paragraph" w:styleId="6">
    <w:name w:val="footer"/>
    <w:basedOn w:val="1"/>
    <w:link w:val="13"/>
    <w:uiPriority w:val="99"/>
    <w:pPr>
      <w:tabs>
        <w:tab w:val="center" w:pos="4153"/>
        <w:tab w:val="right" w:pos="8306"/>
      </w:tabs>
      <w:snapToGrid w:val="0"/>
      <w:spacing w:line="240" w:lineRule="atLeast"/>
    </w:pPr>
    <w:rPr>
      <w:sz w:val="18"/>
      <w:szCs w:val="18"/>
    </w:rPr>
  </w:style>
  <w:style w:type="paragraph" w:styleId="7">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character" w:styleId="11">
    <w:name w:val="page number"/>
    <w:uiPriority w:val="0"/>
  </w:style>
  <w:style w:type="character" w:customStyle="1" w:styleId="12">
    <w:name w:val="标题 1 Char"/>
    <w:link w:val="2"/>
    <w:qFormat/>
    <w:uiPriority w:val="9"/>
    <w:rPr>
      <w:rFonts w:ascii="Times New Roman" w:hAnsi="Times New Roman"/>
      <w:b/>
      <w:bCs/>
      <w:kern w:val="44"/>
      <w:sz w:val="44"/>
      <w:szCs w:val="44"/>
    </w:rPr>
  </w:style>
  <w:style w:type="character" w:customStyle="1" w:styleId="13">
    <w:name w:val="页脚 Char"/>
    <w:link w:val="6"/>
    <w:uiPriority w:val="99"/>
    <w:rPr>
      <w:sz w:val="18"/>
      <w:szCs w:val="18"/>
    </w:rPr>
  </w:style>
  <w:style w:type="character" w:customStyle="1" w:styleId="14">
    <w:name w:val="标题 2 Char"/>
    <w:link w:val="3"/>
    <w:uiPriority w:val="9"/>
    <w:rPr>
      <w:rFonts w:ascii="Cambria" w:hAnsi="Cambria"/>
      <w:b/>
      <w:bCs/>
      <w:sz w:val="32"/>
      <w:szCs w:val="32"/>
    </w:rPr>
  </w:style>
  <w:style w:type="character" w:customStyle="1" w:styleId="15">
    <w:name w:val="批注框文本 Char"/>
    <w:link w:val="5"/>
    <w:uiPriority w:val="0"/>
    <w:rPr>
      <w:sz w:val="18"/>
      <w:szCs w:val="18"/>
    </w:rPr>
  </w:style>
  <w:style w:type="paragraph" w:styleId="16">
    <w:name w:val="List Paragraph"/>
    <w:basedOn w:val="1"/>
    <w:qFormat/>
    <w:uiPriority w:val="34"/>
    <w:pPr>
      <w:adjustRightInd/>
      <w:spacing w:line="240" w:lineRule="auto"/>
      <w:ind w:firstLine="420" w:firstLineChars="200"/>
      <w:jc w:val="both"/>
      <w:textAlignment w:val="auto"/>
    </w:pPr>
    <w:rPr>
      <w:rFonts w:ascii="Calibri" w:hAnsi="Calibri" w:eastAsia="宋体" w:cs="Times New Roman"/>
      <w:kern w:val="2"/>
      <w:sz w:val="21"/>
      <w:szCs w:val="22"/>
    </w:rPr>
  </w:style>
  <w:style w:type="paragraph" w:customStyle="1" w:styleId="17">
    <w:name w:val="Char Char"/>
    <w:basedOn w:val="4"/>
    <w:uiPriority w:val="0"/>
    <w:pPr>
      <w:adjustRightInd/>
      <w:spacing w:line="240" w:lineRule="auto"/>
      <w:jc w:val="both"/>
      <w:textAlignment w:val="auto"/>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5404</Words>
  <Characters>6099</Characters>
  <Lines>36</Lines>
  <Paragraphs>10</Paragraphs>
  <TotalTime>0</TotalTime>
  <ScaleCrop>false</ScaleCrop>
  <LinksUpToDate>false</LinksUpToDate>
  <CharactersWithSpaces>6530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2019-02-04T15:44:00Z</dcterms:created>
  <dc:creator>朱春礼</dc:creator>
  <cp:lastModifiedBy>韩晓宇</cp:lastModifiedBy>
  <cp:lastPrinted>2024-02-01T19:41:00Z</cp:lastPrinted>
  <dcterms:modified xsi:type="dcterms:W3CDTF">2026-02-11T07:34:14Z</dcterms:modified>
  <dc:title>附件1</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C6FDB0E7B1CB4D33BA60AF7FCCC1F0F5_13</vt:lpwstr>
  </property>
  <property fmtid="{D5CDD505-2E9C-101B-9397-08002B2CF9AE}" pid="4" name="KSOTemplateDocerSaveRecord">
    <vt:lpwstr>eyJoZGlkIjoiZjgxYmI1NjgwYWM3NmMyYzVhNmZlZTFkYWYyNmQzOGEiLCJ1c2VySWQiOiI4NzA2Mjc1NDYifQ==</vt:lpwstr>
  </property>
</Properties>
</file>