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FADB25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6F0ECEA8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1A104FCC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0698C27F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6D7D4DB8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06CF99A8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7C442886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50E04F90">
      <w:pPr>
        <w:snapToGrid w:val="0"/>
        <w:spacing w:line="600" w:lineRule="exact"/>
        <w:jc w:val="center"/>
        <w:rPr>
          <w:rFonts w:ascii="宋体" w:hAnsi="宋体"/>
          <w:w w:val="95"/>
          <w:sz w:val="32"/>
          <w:szCs w:val="32"/>
        </w:rPr>
      </w:pPr>
    </w:p>
    <w:p w14:paraId="02E83DD2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天津经济技术开发区建设工程管理中心2026年部门预算</w:t>
      </w:r>
    </w:p>
    <w:p w14:paraId="75ACE305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4E138F01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64613B6B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3862A976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59637B94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4B599AC2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6B169E30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38489885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12E383D7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0D657BD1">
      <w:pPr>
        <w:snapToGrid w:val="0"/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 w14:paraId="6A82A568">
      <w:pPr>
        <w:snapToGrid w:val="0"/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 w14:paraId="275E7339">
      <w:pPr>
        <w:snapToGrid w:val="0"/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 w14:paraId="658D4A8E">
      <w:pPr>
        <w:snapToGrid w:val="0"/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录</w:t>
      </w:r>
    </w:p>
    <w:p w14:paraId="4F17A56E">
      <w:pPr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187232E"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第一部分  概 况</w:t>
      </w:r>
    </w:p>
    <w:p w14:paraId="290BAF26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一、主要职责</w:t>
      </w:r>
    </w:p>
    <w:p w14:paraId="56F7CB74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二、机构设置情况</w:t>
      </w:r>
    </w:p>
    <w:p w14:paraId="042AE122"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第二部分  2026年部门预算情况说明</w:t>
      </w:r>
    </w:p>
    <w:p w14:paraId="739F8B09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一、关于2026年收支预算总表的说明</w:t>
      </w:r>
    </w:p>
    <w:p w14:paraId="7ED4ABC3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二、关于2026年收入预算总表的说明</w:t>
      </w:r>
    </w:p>
    <w:p w14:paraId="49AF3E2B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三、关于2026年支出预算总表的说明</w:t>
      </w:r>
    </w:p>
    <w:p w14:paraId="613F7B58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四、关于2026年财政拨款收支预算总表的说明</w:t>
      </w:r>
    </w:p>
    <w:p w14:paraId="188AAF5F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五、关于2026年财政拨款一般公共预算支出预算表的说明</w:t>
      </w:r>
    </w:p>
    <w:p w14:paraId="154983DB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六、关于2026年财政拨款一般公共预算基本支出预算表的说明</w:t>
      </w:r>
    </w:p>
    <w:p w14:paraId="42732CCD">
      <w:pPr>
        <w:adjustRightInd/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七、关于2026年财政拨款一般公共预算“三公”经费支出预算表的说明</w:t>
      </w:r>
    </w:p>
    <w:p w14:paraId="5740E2C3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八、关于2026年财政拨款政府性基金预算支出预算表的说明</w:t>
      </w:r>
    </w:p>
    <w:p w14:paraId="02F9F235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九、关于2026年国有资本经营预算支出预算表的说明</w:t>
      </w:r>
    </w:p>
    <w:p w14:paraId="241FCCB7">
      <w:pPr>
        <w:snapToGrid w:val="0"/>
        <w:spacing w:line="600" w:lineRule="exact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十、其他重要事项的情况说明</w:t>
      </w:r>
    </w:p>
    <w:p w14:paraId="30AF7EF2"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第三部分  名词解释</w:t>
      </w:r>
    </w:p>
    <w:p w14:paraId="2863D49B"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第四部分  2026年部门预算表</w:t>
      </w:r>
    </w:p>
    <w:p w14:paraId="774D873C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 2026年收支预算总表</w:t>
      </w:r>
    </w:p>
    <w:p w14:paraId="6DA73B32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 2026年收入预算总表</w:t>
      </w:r>
    </w:p>
    <w:p w14:paraId="43EE21C0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 2026年支出预算总表</w:t>
      </w:r>
    </w:p>
    <w:p w14:paraId="5C7995A0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 2026年财政拨款收支预算总表</w:t>
      </w:r>
    </w:p>
    <w:p w14:paraId="49805576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 2026年财政拨款一般公共预算支出预算表</w:t>
      </w:r>
    </w:p>
    <w:p w14:paraId="219A6CE0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 2026年财政拨款一般公共预算基本支出预算表</w:t>
      </w:r>
    </w:p>
    <w:p w14:paraId="3CB18D67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七、 </w:t>
      </w:r>
      <w:bookmarkStart w:id="0" w:name="OLE_LINK36"/>
      <w:bookmarkStart w:id="1" w:name="OLE_LINK35"/>
      <w:r>
        <w:rPr>
          <w:rFonts w:hint="eastAsia" w:ascii="仿宋_GB2312" w:hAnsi="仿宋_GB2312" w:eastAsia="仿宋_GB2312" w:cs="仿宋_GB2312"/>
          <w:sz w:val="32"/>
          <w:szCs w:val="32"/>
        </w:rPr>
        <w:t>2026年财政拨款一般公共预算“三公”经费支出预算表</w:t>
      </w:r>
      <w:bookmarkEnd w:id="0"/>
      <w:bookmarkEnd w:id="1"/>
    </w:p>
    <w:p w14:paraId="097C0FC8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八、 </w:t>
      </w:r>
      <w:bookmarkStart w:id="2" w:name="OLE_LINK39"/>
      <w:bookmarkStart w:id="3" w:name="OLE_LINK37"/>
      <w:bookmarkStart w:id="4" w:name="OLE_LINK38"/>
      <w:r>
        <w:rPr>
          <w:rFonts w:hint="eastAsia" w:ascii="仿宋_GB2312" w:hAnsi="仿宋_GB2312" w:eastAsia="仿宋_GB2312" w:cs="仿宋_GB2312"/>
          <w:sz w:val="32"/>
          <w:szCs w:val="32"/>
        </w:rPr>
        <w:t>2026年财政拨款政府性基金预算支出预算表</w:t>
      </w:r>
      <w:bookmarkEnd w:id="2"/>
      <w:bookmarkEnd w:id="3"/>
      <w:bookmarkEnd w:id="4"/>
    </w:p>
    <w:p w14:paraId="711534A8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九、 2026年国有资本经营预算支出预算表 </w:t>
      </w:r>
    </w:p>
    <w:p w14:paraId="568058AA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 2026年项目支出预算表</w:t>
      </w:r>
    </w:p>
    <w:p w14:paraId="5C557785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 2026年财政拨款政府采购预算表</w:t>
      </w:r>
    </w:p>
    <w:p w14:paraId="324F654D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十二、2026年项目支出绩效目标表</w:t>
      </w:r>
    </w:p>
    <w:p w14:paraId="7347EEB0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</w:p>
    <w:p w14:paraId="5DFDD126">
      <w:pPr>
        <w:spacing w:line="56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 w14:paraId="32B73494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7" w:h="16840"/>
          <w:pgMar w:top="2098" w:right="1275" w:bottom="1304" w:left="1474" w:header="765" w:footer="765" w:gutter="0"/>
          <w:pgNumType w:fmt="numberInDash"/>
          <w:cols w:space="720" w:num="1"/>
          <w:docGrid w:linePitch="326" w:charSpace="0"/>
        </w:sectPr>
      </w:pPr>
    </w:p>
    <w:p w14:paraId="0C5A8C3D"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5" w:name="_Toc7878455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第一部分  概 况</w:t>
      </w:r>
      <w:bookmarkEnd w:id="5"/>
    </w:p>
    <w:p w14:paraId="30C8B850">
      <w:pPr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8EBD4E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_Toc78784555"/>
      <w:r>
        <w:rPr>
          <w:rFonts w:hint="eastAsia" w:ascii="黑体" w:hAnsi="黑体" w:eastAsia="黑体" w:cs="黑体"/>
          <w:sz w:val="32"/>
          <w:szCs w:val="32"/>
        </w:rPr>
        <w:t>一、主要职责</w:t>
      </w:r>
      <w:bookmarkEnd w:id="6"/>
    </w:p>
    <w:p w14:paraId="1C60BF6D">
      <w:pPr>
        <w:snapToGrid w:val="0"/>
        <w:spacing w:line="520" w:lineRule="atLeas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bookmarkStart w:id="7" w:name="_Toc78784556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贯彻执行国家和本市有关建设管理的法律法规和方针政策；办理竣工验收和竣工备案；监督管理经开区建设工程招投标活动；对经开区建设工程的施工进行安全质量监督管理等。</w:t>
      </w:r>
    </w:p>
    <w:p w14:paraId="277EC1D8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二、机构设置</w:t>
      </w:r>
      <w:bookmarkEnd w:id="7"/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59EA1E4A">
      <w:pPr>
        <w:pStyle w:val="17"/>
        <w:snapToGrid w:val="0"/>
        <w:spacing w:line="580" w:lineRule="exact"/>
        <w:ind w:firstLine="640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zh-CN"/>
        </w:rPr>
        <w:t>天津经济技术开发区建设工程管理中心内设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7个科室；</w:t>
      </w:r>
      <w:r>
        <w:rPr>
          <w:rFonts w:hint="eastAsia" w:ascii="仿宋_GB2312" w:hAnsi="仿宋" w:eastAsia="仿宋_GB2312" w:cs="仿宋_GB2312"/>
          <w:sz w:val="32"/>
          <w:szCs w:val="32"/>
        </w:rPr>
        <w:t>下辖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个预算单位。</w:t>
      </w:r>
    </w:p>
    <w:p w14:paraId="12270832">
      <w:pPr>
        <w:pStyle w:val="17"/>
        <w:snapToGrid w:val="0"/>
        <w:spacing w:line="580" w:lineRule="exact"/>
        <w:ind w:firstLine="64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纳入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天津经济技术开发区建设工程管理中心</w:t>
      </w:r>
      <w:r>
        <w:rPr>
          <w:rFonts w:hint="eastAsia" w:ascii="仿宋_GB2312" w:hAnsi="仿宋" w:eastAsia="仿宋_GB2312" w:cs="仿宋_GB2312"/>
          <w:sz w:val="32"/>
          <w:szCs w:val="32"/>
        </w:rPr>
        <w:t>2026年部门预算编制范围的单位包括：</w:t>
      </w:r>
    </w:p>
    <w:p w14:paraId="67794A76">
      <w:pPr>
        <w:spacing w:line="600" w:lineRule="exact"/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1.天津经济技术开发区建设工程管理中心</w:t>
      </w:r>
      <w:r>
        <w:rPr>
          <w:rFonts w:hint="eastAsia" w:ascii="仿宋_GB2312" w:hAnsi="仿宋" w:eastAsia="仿宋_GB2312" w:cs="仿宋_GB2312"/>
          <w:sz w:val="32"/>
          <w:szCs w:val="32"/>
        </w:rPr>
        <w:t>部门本级</w:t>
      </w:r>
    </w:p>
    <w:p w14:paraId="1D14E269"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  <w:sectPr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</w:p>
    <w:p w14:paraId="05C36629"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bookmarkStart w:id="8" w:name="_Toc7878457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第二部分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部门预算情况说明</w:t>
      </w:r>
      <w:bookmarkEnd w:id="8"/>
    </w:p>
    <w:p w14:paraId="4185DD76">
      <w:pPr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FA615B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9" w:name="_Toc78784571"/>
      <w:r>
        <w:rPr>
          <w:rFonts w:hint="eastAsia" w:ascii="黑体" w:hAnsi="黑体" w:eastAsia="黑体" w:cs="黑体"/>
          <w:sz w:val="32"/>
          <w:szCs w:val="32"/>
        </w:rPr>
        <w:t>一、</w:t>
      </w:r>
      <w:bookmarkEnd w:id="9"/>
      <w:r>
        <w:rPr>
          <w:rFonts w:hint="eastAsia" w:ascii="黑体" w:hAnsi="黑体" w:eastAsia="黑体" w:cs="黑体"/>
          <w:sz w:val="32"/>
          <w:szCs w:val="32"/>
        </w:rPr>
        <w:t>关于2026年收支预算总表的说明</w:t>
      </w:r>
    </w:p>
    <w:p w14:paraId="5D81F9B9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按照综合预算的原则，本部门所有收入和支出均纳入部门预算管理。收入包括：一般公共预算拨款收</w:t>
      </w:r>
      <w:bookmarkStart w:id="10" w:name="OLE_LINK40"/>
      <w:bookmarkStart w:id="11" w:name="OLE_LINK41"/>
      <w:r>
        <w:rPr>
          <w:rFonts w:hint="eastAsia" w:ascii="仿宋_GB2312" w:hAnsi="仿宋_GB2312" w:eastAsia="仿宋_GB2312" w:cs="仿宋_GB2312"/>
          <w:sz w:val="32"/>
          <w:szCs w:val="32"/>
        </w:rPr>
        <w:t>入</w:t>
      </w:r>
      <w:bookmarkStart w:id="12" w:name="OLE_LINK33"/>
      <w:bookmarkStart w:id="13" w:name="OLE_LINK34"/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bookmarkEnd w:id="10"/>
      <w:bookmarkEnd w:id="11"/>
      <w:bookmarkEnd w:id="12"/>
      <w:bookmarkEnd w:id="13"/>
      <w:r>
        <w:rPr>
          <w:rFonts w:hint="eastAsia" w:ascii="仿宋_GB2312" w:hAnsi="仿宋_GB2312" w:eastAsia="仿宋_GB2312" w:cs="仿宋_GB2312"/>
          <w:sz w:val="32"/>
          <w:szCs w:val="32"/>
        </w:rPr>
        <w:t>元、政府性基金预算拨款收</w:t>
      </w:r>
      <w:bookmarkStart w:id="14" w:name="OLE_LINK29"/>
      <w:bookmarkStart w:id="15" w:name="OLE_LINK28"/>
      <w:r>
        <w:rPr>
          <w:rFonts w:hint="eastAsia" w:ascii="仿宋_GB2312" w:hAnsi="仿宋_GB2312" w:eastAsia="仿宋_GB2312" w:cs="仿宋_GB2312"/>
          <w:sz w:val="32"/>
          <w:szCs w:val="32"/>
        </w:rPr>
        <w:t>入</w:t>
      </w:r>
      <w:bookmarkStart w:id="16" w:name="OLE_LINK27"/>
      <w:bookmarkStart w:id="17" w:name="OLE_LINK2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0 </w:t>
      </w:r>
      <w:bookmarkEnd w:id="14"/>
      <w:bookmarkEnd w:id="15"/>
      <w:bookmarkEnd w:id="16"/>
      <w:bookmarkEnd w:id="17"/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</w:t>
      </w:r>
      <w:bookmarkStart w:id="18" w:name="OLE_LINK31"/>
      <w:bookmarkStart w:id="19" w:name="OLE_LINK30"/>
      <w:r>
        <w:rPr>
          <w:rFonts w:hint="eastAsia" w:ascii="仿宋_GB2312" w:hAnsi="仿宋_GB2312" w:eastAsia="仿宋_GB2312" w:cs="仿宋_GB2312"/>
          <w:sz w:val="32"/>
          <w:szCs w:val="32"/>
        </w:rPr>
        <w:t>入0万</w:t>
      </w:r>
      <w:bookmarkEnd w:id="18"/>
      <w:bookmarkEnd w:id="19"/>
      <w:r>
        <w:rPr>
          <w:rFonts w:hint="eastAsia" w:ascii="仿宋_GB2312" w:hAnsi="仿宋_GB2312" w:eastAsia="仿宋_GB2312" w:cs="仿宋_GB2312"/>
          <w:sz w:val="32"/>
          <w:szCs w:val="32"/>
        </w:rPr>
        <w:t>元、纳入财政专户的教育收费拨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0万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元、其他事业收入 0 万元、经营收入 0 </w:t>
      </w:r>
      <w:bookmarkStart w:id="20" w:name="OLE_LINK47"/>
      <w:bookmarkStart w:id="21" w:name="OLE_LINK48"/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</w:t>
      </w:r>
      <w:bookmarkEnd w:id="20"/>
      <w:bookmarkEnd w:id="21"/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、上级补助收入 </w:t>
      </w:r>
      <w:r>
        <w:rPr>
          <w:rFonts w:hint="eastAsia" w:ascii="仿宋_GB2312" w:hAnsi="仿宋_GB2312" w:eastAsia="仿宋_GB2312" w:cs="仿宋_GB2312"/>
          <w:sz w:val="32"/>
          <w:szCs w:val="32"/>
        </w:rPr>
        <w:t>0 万元、附属单位上缴收入 0 万元、其他收入0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、上年结转和结余0 万元；支出包括：</w:t>
      </w:r>
      <w:r>
        <w:rPr>
          <w:rFonts w:hint="eastAsia" w:ascii="仿宋_GB2312" w:hAnsi="Times New Roman" w:eastAsia="仿宋_GB2312"/>
          <w:sz w:val="30"/>
          <w:szCs w:val="30"/>
        </w:rPr>
        <w:t xml:space="preserve">城乡社区支出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万元。本部门2026年收支总预算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6655ED39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22" w:name="_Toc78784572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22"/>
      <w:r>
        <w:rPr>
          <w:rFonts w:hint="eastAsia" w:ascii="黑体" w:hAnsi="黑体" w:eastAsia="黑体" w:cs="黑体"/>
          <w:sz w:val="32"/>
          <w:szCs w:val="32"/>
        </w:rPr>
        <w:t>关于2026年收入预算总表的说明</w:t>
      </w:r>
    </w:p>
    <w:p w14:paraId="14E603F5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本部门2026年部门预算收</w:t>
      </w:r>
      <w:bookmarkStart w:id="23" w:name="OLE_LINK43"/>
      <w:bookmarkStart w:id="24" w:name="OLE_LINK44"/>
      <w:r>
        <w:rPr>
          <w:rFonts w:hint="eastAsia" w:ascii="仿宋_GB2312" w:hAnsi="仿宋_GB2312" w:eastAsia="仿宋_GB2312" w:cs="仿宋_GB2312"/>
          <w:sz w:val="32"/>
          <w:szCs w:val="32"/>
        </w:rPr>
        <w:t>入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bookmarkEnd w:id="23"/>
      <w:bookmarkEnd w:id="24"/>
      <w:r>
        <w:rPr>
          <w:rFonts w:hint="eastAsia" w:ascii="仿宋_GB2312" w:hAnsi="仿宋_GB2312" w:eastAsia="仿宋_GB2312" w:cs="仿宋_GB2312"/>
          <w:sz w:val="32"/>
          <w:szCs w:val="32"/>
        </w:rPr>
        <w:t>元，与2025年预算相比增加 49.69万元，主要原因是人员增加。其中：上年结转和结余 0万元，占 0 %；一般公共预算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万元，占100 %；政府性基金预算</w:t>
      </w:r>
      <w:bookmarkStart w:id="25" w:name="OLE_LINK49"/>
      <w:bookmarkStart w:id="26" w:name="OLE_LINK5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0万元，占 0 %；</w:t>
      </w:r>
      <w:bookmarkEnd w:id="25"/>
      <w:bookmarkEnd w:id="26"/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 0万元，占 0 %；纳入财政专户的教育收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费拨款 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0万元，占 0 %；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其他事业收入 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0万元，占 0 %；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经营收入 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0万元，占 0 %；上级补助收入 0万元，占 0 %；附属单位上缴收入 0万元，占 0 %；其他收入 0万元，占 0 %。</w:t>
      </w:r>
    </w:p>
    <w:p w14:paraId="66D295F6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27" w:name="_Toc78784573"/>
      <w:r>
        <w:rPr>
          <w:rFonts w:hint="eastAsia" w:ascii="黑体" w:hAnsi="黑体" w:eastAsia="黑体" w:cs="黑体"/>
          <w:sz w:val="32"/>
          <w:szCs w:val="32"/>
        </w:rPr>
        <w:t>三、</w:t>
      </w:r>
      <w:bookmarkEnd w:id="27"/>
      <w:r>
        <w:rPr>
          <w:rFonts w:hint="eastAsia" w:ascii="黑体" w:hAnsi="黑体" w:eastAsia="黑体" w:cs="黑体"/>
          <w:sz w:val="32"/>
          <w:szCs w:val="32"/>
        </w:rPr>
        <w:t>关于2026年支出预算总表的说明</w:t>
      </w:r>
    </w:p>
    <w:p w14:paraId="73D6667E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本部门2026年支出预算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万元，与2025年预算相比增加 49.69万元，主要原因是人员增加。其中：基本支出1279.84万元，占 73.73 %；项目支出 456万元，占26.27 %；经营支出  0万元，占 0 %；上缴上级支出 0万元，占 0 %；对附属单位补助支出 0万元，占 0 %。 </w:t>
      </w:r>
    </w:p>
    <w:p w14:paraId="4A8720B7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28" w:name="_Toc78784574"/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28"/>
      <w:r>
        <w:rPr>
          <w:rFonts w:hint="eastAsia" w:ascii="黑体" w:hAnsi="黑体" w:eastAsia="黑体" w:cs="黑体"/>
          <w:sz w:val="32"/>
          <w:szCs w:val="32"/>
        </w:rPr>
        <w:t>关于2026年财政拨款收支预算总表的说明</w:t>
      </w:r>
    </w:p>
    <w:p w14:paraId="4BCAD7F1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本部门2026年财政拨款收入预算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 49.69万元，主要原因是人员增加。收入包括：一般公共预算拨款收入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 0万元、国有资本经营预算拨款收入 0万元、上年财政结转和结余 0万元。2026年财政拨款支出预算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万元，与2025年预算相比增加49.69万元，主要原因是人员增加。支出包括：</w:t>
      </w:r>
      <w:r>
        <w:rPr>
          <w:rFonts w:hint="eastAsia" w:eastAsia="仿宋_GB2312"/>
          <w:sz w:val="30"/>
          <w:szCs w:val="30"/>
        </w:rPr>
        <w:t xml:space="preserve">城乡社区支出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5700EE7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29" w:name="_Toc78784575"/>
      <w:r>
        <w:rPr>
          <w:rFonts w:hint="eastAsia" w:ascii="黑体" w:hAnsi="黑体" w:eastAsia="黑体" w:cs="黑体"/>
          <w:sz w:val="32"/>
          <w:szCs w:val="32"/>
        </w:rPr>
        <w:t>五、</w:t>
      </w:r>
      <w:bookmarkEnd w:id="29"/>
      <w:r>
        <w:rPr>
          <w:rFonts w:hint="eastAsia" w:ascii="黑体" w:hAnsi="黑体" w:eastAsia="黑体" w:cs="黑体"/>
          <w:sz w:val="32"/>
          <w:szCs w:val="32"/>
        </w:rPr>
        <w:t>关于2026年财政拨款一般公共预算支出预算表的说明</w:t>
      </w:r>
    </w:p>
    <w:p w14:paraId="457A6708"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</w:t>
      </w:r>
    </w:p>
    <w:p w14:paraId="45E98C6D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本部门2026年一般公共预算支出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 49.69万元，主要原因是人员增加。</w:t>
      </w:r>
    </w:p>
    <w:p w14:paraId="70B623AD"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（二）具体情况</w:t>
      </w:r>
    </w:p>
    <w:p w14:paraId="0A08BFCC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</w:t>
      </w:r>
      <w:r>
        <w:rPr>
          <w:rFonts w:hint="eastAsia" w:eastAsia="仿宋_GB2312"/>
          <w:sz w:val="32"/>
          <w:szCs w:val="32"/>
        </w:rPr>
        <w:t xml:space="preserve"> “</w:t>
      </w:r>
      <w:r>
        <w:rPr>
          <w:rFonts w:hint="eastAsia" w:ascii="仿宋_GB2312" w:eastAsia="仿宋_GB2312"/>
          <w:color w:val="000000"/>
          <w:sz w:val="32"/>
          <w:szCs w:val="32"/>
        </w:rPr>
        <w:t>城乡社区支出（类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 49.69万元，主要原因是人员增加，其中：</w:t>
      </w:r>
    </w:p>
    <w:p w14:paraId="0B3C9E85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“建设市场管理与监督（款）”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万元，包括：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“建设市场管理与监督（项）”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color w:val="4D4F53"/>
          <w:sz w:val="32"/>
          <w:szCs w:val="32"/>
        </w:rPr>
        <w:t>建管中心人员支出、公用支出及项目支出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7B83D7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30" w:name="_Toc78784576"/>
      <w:r>
        <w:rPr>
          <w:rFonts w:hint="eastAsia" w:ascii="黑体" w:hAnsi="黑体" w:eastAsia="黑体" w:cs="黑体"/>
          <w:sz w:val="32"/>
          <w:szCs w:val="32"/>
        </w:rPr>
        <w:t>六、</w:t>
      </w:r>
      <w:bookmarkEnd w:id="30"/>
      <w:r>
        <w:rPr>
          <w:rFonts w:hint="eastAsia" w:ascii="黑体" w:hAnsi="黑体" w:eastAsia="黑体" w:cs="黑体"/>
          <w:sz w:val="32"/>
          <w:szCs w:val="32"/>
        </w:rPr>
        <w:t>关于2026年财政拨款一般公共预算基本支出预算表的说明</w:t>
      </w:r>
    </w:p>
    <w:p w14:paraId="694263A4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本部门一般公共预算基本支出 </w:t>
      </w:r>
      <w:r>
        <w:rPr>
          <w:rFonts w:ascii="仿宋_GB2312" w:hAnsi="仿宋_GB2312" w:eastAsia="仿宋_GB2312" w:cs="仿宋_GB2312"/>
          <w:sz w:val="32"/>
          <w:szCs w:val="32"/>
        </w:rPr>
        <w:t>1735.84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万元，与2025年预算相比增加49.69万元，主要原因是人员增加。其中：</w:t>
      </w:r>
    </w:p>
    <w:p w14:paraId="178E0EEB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人员经费 1220.29万元，主要包括：</w:t>
      </w:r>
      <w:r>
        <w:rPr>
          <w:rFonts w:hint="eastAsia" w:ascii="仿宋_GB2312" w:hAnsi="宋体" w:eastAsia="仿宋_GB2312" w:cs="宋体"/>
          <w:color w:val="4D4F53"/>
          <w:sz w:val="32"/>
          <w:szCs w:val="32"/>
        </w:rPr>
        <w:t>基本工资、津贴补贴、机关事业单位基本养老保险缴费、职业年金缴费、职工基本医疗保险缴费、其他社会保障缴费、住房公积金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260892E0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公用经费 59.55万元，主要包括：</w:t>
      </w:r>
      <w:r>
        <w:rPr>
          <w:rFonts w:hint="eastAsia" w:ascii="仿宋_GB2312" w:hAnsi="宋体" w:eastAsia="仿宋_GB2312" w:cs="宋体"/>
          <w:color w:val="4D4F53"/>
          <w:sz w:val="32"/>
          <w:szCs w:val="32"/>
        </w:rPr>
        <w:t>办公费、印刷费、手续费、水费、邮电费、差旅费、维修（护）费、培训费、劳务费、委托业务费、其他交通费用、其他商品和服务支出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6D9641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31" w:name="_Toc78784577"/>
      <w:r>
        <w:rPr>
          <w:rFonts w:hint="eastAsia" w:ascii="黑体" w:hAnsi="黑体" w:eastAsia="黑体" w:cs="黑体"/>
          <w:sz w:val="32"/>
          <w:szCs w:val="32"/>
        </w:rPr>
        <w:t>七、关于2026年财政拨款一般公共预算“三公”经费支出预算表的说明</w:t>
      </w:r>
    </w:p>
    <w:p w14:paraId="29EBBB88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2026年一般公共预算“三公”经费安排 0万元，与2025年预算相比增加（减少） 0万元，主要原因是本部门一般公共预算未安排“三公”经费。    </w:t>
      </w:r>
    </w:p>
    <w:p w14:paraId="55D32283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具体情况：</w:t>
      </w:r>
    </w:p>
    <w:p w14:paraId="3DB888E4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（一）2026年因公出国（境）费预算 0万元，与2025年预算相比增加（减少） 0万元，主要原因是本部门一般公共预算未安排“三公”经费。</w:t>
      </w:r>
    </w:p>
    <w:p w14:paraId="3B12A487"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（二）2026年公务用车购置及运行费预算 0万元，其中公务用车运行费 0万元，与2025年预算相比增加（减少） 0万元，主要原因是本部门一般公共预算未安排“三公”经费</w:t>
      </w:r>
      <w:bookmarkStart w:id="35" w:name="_GoBack"/>
      <w:bookmarkEnd w:id="35"/>
      <w:r>
        <w:rPr>
          <w:rFonts w:hint="eastAsia" w:ascii="仿宋_GB2312" w:hAnsi="仿宋_GB2312" w:eastAsia="仿宋_GB2312" w:cs="仿宋_GB2312"/>
          <w:sz w:val="32"/>
          <w:szCs w:val="32"/>
        </w:rPr>
        <w:t>；公务用车购置费 0万元，与2025年预算相比增加（减少） 0万元，主要原因是本部门一般公共预算未安排“三公”经费。</w:t>
      </w:r>
    </w:p>
    <w:p w14:paraId="21B491B8">
      <w:pPr>
        <w:snapToGrid w:val="0"/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（三）2026年公务接待费预算 0万元，与2025年预算相比增加（减少） 0万元，主要原因是本部门一般公共预算未安排“三公”经费。</w:t>
      </w:r>
    </w:p>
    <w:p w14:paraId="4EC64032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bookmarkEnd w:id="31"/>
      <w:r>
        <w:rPr>
          <w:rFonts w:hint="eastAsia" w:ascii="黑体" w:hAnsi="黑体" w:eastAsia="黑体" w:cs="黑体"/>
          <w:sz w:val="32"/>
          <w:szCs w:val="32"/>
        </w:rPr>
        <w:t>关于2026年财政拨款政府性基金预算支出预算表的说明</w:t>
      </w:r>
    </w:p>
    <w:p w14:paraId="3DA2C761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2026年本部门预算中没有使用政府性基金预算安排的支出</w:t>
      </w:r>
    </w:p>
    <w:p w14:paraId="1269667A"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32" w:name="_Toc78784578"/>
      <w:r>
        <w:rPr>
          <w:rFonts w:hint="eastAsia" w:ascii="黑体" w:hAnsi="黑体" w:eastAsia="黑体" w:cs="黑体"/>
          <w:sz w:val="32"/>
          <w:szCs w:val="32"/>
        </w:rPr>
        <w:t>九、关于2026年国有资本经营预算支出预算表</w:t>
      </w:r>
      <w:bookmarkEnd w:id="32"/>
      <w:r>
        <w:rPr>
          <w:rFonts w:hint="eastAsia" w:ascii="黑体" w:hAnsi="黑体" w:eastAsia="黑体" w:cs="黑体"/>
          <w:sz w:val="32"/>
          <w:szCs w:val="32"/>
        </w:rPr>
        <w:t>的说明</w:t>
      </w:r>
    </w:p>
    <w:p w14:paraId="68A77A9C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2026年本部门预算中没有使用国有资本经营预算安排的支出</w:t>
      </w:r>
    </w:p>
    <w:p w14:paraId="5A3623CD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33" w:name="_Toc78784579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十、其他重要事项的情况说明</w:t>
      </w:r>
    </w:p>
    <w:p w14:paraId="50DA477F"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（一）机关运行经费</w:t>
      </w:r>
      <w:bookmarkEnd w:id="33"/>
    </w:p>
    <w:p w14:paraId="4EC6A510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本部门2026年未安排机关运行经费预算</w:t>
      </w:r>
    </w:p>
    <w:p w14:paraId="4B811B67"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（二）政府采购情况</w:t>
      </w:r>
    </w:p>
    <w:p w14:paraId="2AD52A46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本部门2026年安排政府采购预算 275.60万元，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0.60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万元。主要项目是：</w:t>
      </w:r>
      <w:r>
        <w:rPr>
          <w:rFonts w:hint="eastAsia" w:ascii="仿宋_GB2312" w:eastAsia="仿宋_GB2312"/>
          <w:color w:val="000000"/>
          <w:sz w:val="32"/>
          <w:szCs w:val="32"/>
        </w:rPr>
        <w:t>建设工程交易服务中心房屋租赁及物业专项 275万元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71A7B6A"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（三）国有资产占用情况</w:t>
      </w:r>
    </w:p>
    <w:p w14:paraId="2B5098FF"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截至2025年7月底，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各单位共有车辆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辆、主要领导干部用车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辆、机要通信用车 </w:t>
      </w:r>
      <w:r>
        <w:rPr>
          <w:rFonts w:hint="eastAsia" w:ascii="仿宋_GB2312" w:hAnsi="仿宋_GB2312" w:eastAsia="仿宋_GB2312" w:cs="仿宋_GB2312"/>
          <w:sz w:val="32"/>
          <w:szCs w:val="32"/>
        </w:rPr>
        <w:t>0辆、应急保障用车 0辆、执法执勤用车 0辆、特种专业技术用车 0辆、离退休干部用车 0辆、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其他用车 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其他用车主要包括 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。单价50万元以上的通用设备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台（套），单价100万元以上的专用设备 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台（套）。</w:t>
      </w:r>
    </w:p>
    <w:p w14:paraId="05C09B80">
      <w:pPr>
        <w:snapToGrid w:val="0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（四）预算绩效情况说明</w:t>
      </w:r>
    </w:p>
    <w:p w14:paraId="6007CEB3"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本部门2026年实行绩效目标管理的项目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个，涉及预算金额 </w:t>
      </w:r>
      <w:r>
        <w:rPr>
          <w:rFonts w:hint="eastAsia" w:ascii="仿宋_GB2312" w:hAnsi="仿宋_GB2312" w:eastAsia="仿宋_GB2312" w:cs="仿宋_GB2312"/>
          <w:sz w:val="32"/>
          <w:szCs w:val="32"/>
        </w:rPr>
        <w:t>456万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 w14:paraId="1CC27202"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</w:rPr>
        <w:sectPr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  <w:bookmarkStart w:id="34" w:name="_Toc78784585"/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</w:p>
    <w:p w14:paraId="505F7AA8"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第三部分  名词解释</w:t>
      </w:r>
      <w:bookmarkEnd w:id="34"/>
    </w:p>
    <w:p w14:paraId="668BD414"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63ACCF"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1.部门预算。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10132B9B"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 机关运行经费。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3A9F164C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  <w:sectPr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</w:p>
    <w:p w14:paraId="52817C78"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第四部分  2026年部门预算表</w:t>
      </w:r>
    </w:p>
    <w:p w14:paraId="031C57A1">
      <w:pPr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B45096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一、2026年收支预算总表</w:t>
      </w:r>
    </w:p>
    <w:p w14:paraId="643E2180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二、2026年收入预算总表</w:t>
      </w:r>
    </w:p>
    <w:p w14:paraId="0BBEE289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三、2026年支出预算总表</w:t>
      </w:r>
    </w:p>
    <w:p w14:paraId="4D5A9D5D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四、2026年财政拨款收支预算总表</w:t>
      </w:r>
    </w:p>
    <w:p w14:paraId="78F39824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五、2026年财政拨款一般公共预算支出预算表</w:t>
      </w:r>
    </w:p>
    <w:p w14:paraId="782387B6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六、2026年财政拨款一般公共预算基本支出预算表</w:t>
      </w:r>
    </w:p>
    <w:p w14:paraId="4F2118A9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七、2026年财政拨款政府性基金预算支出预算表</w:t>
      </w:r>
    </w:p>
    <w:p w14:paraId="0EBD6A35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八、2026年财政拨款一般公共预算“三公”经费支出预算表</w:t>
      </w:r>
    </w:p>
    <w:p w14:paraId="282E8055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九、2026年财政拨款政府采购预算表</w:t>
      </w:r>
    </w:p>
    <w:p w14:paraId="756CEF3F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十、2026年项目支出预算表  </w:t>
      </w:r>
    </w:p>
    <w:p w14:paraId="1DCAD56E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十一、2026年国有资本经营预算支出预算表</w:t>
      </w:r>
    </w:p>
    <w:p w14:paraId="1E15670A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十二、2026年项目支出绩效目标表</w:t>
      </w:r>
    </w:p>
    <w:p w14:paraId="65084E3A">
      <w:pPr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4C98C6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2026年财政拨款一般公共预算“三公”经费支出预算表</w:t>
      </w:r>
      <w:r>
        <w:rPr>
          <w:rFonts w:hint="eastAsia" w:ascii="仿宋_GB2312" w:eastAsia="仿宋_GB2312"/>
          <w:color w:val="000000"/>
          <w:sz w:val="32"/>
          <w:szCs w:val="32"/>
        </w:rPr>
        <w:t>为空表。</w:t>
      </w:r>
    </w:p>
    <w:p w14:paraId="292853AC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2.本部门2026年财政拨款政府性基金预算支出预算表为空表。</w:t>
      </w:r>
    </w:p>
    <w:p w14:paraId="7C3EC3F8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本部门2026年国有资本经营预算支出预算表为空表。</w:t>
      </w:r>
    </w:p>
    <w:sectPr>
      <w:pgSz w:w="11907" w:h="16840"/>
      <w:pgMar w:top="2098" w:right="1275" w:bottom="1304" w:left="1474" w:header="765" w:footer="765" w:gutter="0"/>
      <w:pgNumType w:fmt="numberInDash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B2BF">
    <w:pPr>
      <w:pStyle w:val="6"/>
      <w:jc w:val="center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5C56AFB">
                <w:pPr>
                  <w:pStyle w:val="6"/>
                  <w:jc w:val="center"/>
                  <w:rPr>
                    <w:rFonts w:ascii="仿宋_GB2312" w:hAnsi="仿宋_GB2312"/>
                  </w:rPr>
                </w:pPr>
                <w:r>
                  <w:rPr>
                    <w:rFonts w:ascii="仿宋_GB2312" w:hAnsi="仿宋_GB2312"/>
                  </w:rPr>
                  <w:fldChar w:fldCharType="begin"/>
                </w:r>
                <w:r>
                  <w:rPr>
                    <w:rFonts w:ascii="仿宋_GB2312" w:hAnsi="仿宋_GB2312"/>
                  </w:rPr>
                  <w:instrText xml:space="preserve">PAGE   \* MERGEFORMAT</w:instrText>
                </w:r>
                <w:r>
                  <w:rPr>
                    <w:rFonts w:ascii="仿宋_GB2312" w:hAnsi="仿宋_GB2312"/>
                  </w:rPr>
                  <w:fldChar w:fldCharType="separate"/>
                </w:r>
                <w:r>
                  <w:rPr>
                    <w:rFonts w:ascii="仿宋_GB2312" w:hAnsi="仿宋_GB2312"/>
                    <w:lang w:val="zh-CN"/>
                  </w:rPr>
                  <w:t>-</w:t>
                </w:r>
                <w:r>
                  <w:rPr>
                    <w:rFonts w:ascii="仿宋_GB2312" w:hAnsi="仿宋_GB2312"/>
                  </w:rPr>
                  <w:t xml:space="preserve"> 11 -</w:t>
                </w:r>
                <w:r>
                  <w:rPr>
                    <w:rFonts w:ascii="仿宋_GB2312" w:hAnsi="仿宋_GB2312"/>
                  </w:rPr>
                  <w:fldChar w:fldCharType="end"/>
                </w:r>
              </w:p>
            </w:txbxContent>
          </v:textbox>
        </v:shape>
      </w:pict>
    </w:r>
  </w:p>
  <w:p w14:paraId="0540F0FE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7E2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iNmNjMzE3ZWEwZWZjNDMyMDU1YzY5M2ExYzdmOWIifQ=="/>
  </w:docVars>
  <w:rsids>
    <w:rsidRoot w:val="00937D77"/>
    <w:rsid w:val="00000C3D"/>
    <w:rsid w:val="0001204D"/>
    <w:rsid w:val="00014B7E"/>
    <w:rsid w:val="000162FC"/>
    <w:rsid w:val="00020DAE"/>
    <w:rsid w:val="000228A3"/>
    <w:rsid w:val="00024FCC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6DA5"/>
    <w:rsid w:val="00081133"/>
    <w:rsid w:val="00082771"/>
    <w:rsid w:val="00093F1A"/>
    <w:rsid w:val="00097C4D"/>
    <w:rsid w:val="000A4C45"/>
    <w:rsid w:val="000A6A5A"/>
    <w:rsid w:val="000B1B04"/>
    <w:rsid w:val="000B5758"/>
    <w:rsid w:val="000C211F"/>
    <w:rsid w:val="000C3FFB"/>
    <w:rsid w:val="000C5349"/>
    <w:rsid w:val="000C704F"/>
    <w:rsid w:val="000D1BEF"/>
    <w:rsid w:val="000E221E"/>
    <w:rsid w:val="000E5A14"/>
    <w:rsid w:val="000E7C91"/>
    <w:rsid w:val="000F2DDD"/>
    <w:rsid w:val="00103D12"/>
    <w:rsid w:val="001044EF"/>
    <w:rsid w:val="00107793"/>
    <w:rsid w:val="00107F74"/>
    <w:rsid w:val="00115667"/>
    <w:rsid w:val="00141FB3"/>
    <w:rsid w:val="00143640"/>
    <w:rsid w:val="00146622"/>
    <w:rsid w:val="00151976"/>
    <w:rsid w:val="00151DB8"/>
    <w:rsid w:val="00151E56"/>
    <w:rsid w:val="001574DB"/>
    <w:rsid w:val="001616F8"/>
    <w:rsid w:val="001639E6"/>
    <w:rsid w:val="0016548E"/>
    <w:rsid w:val="001654F3"/>
    <w:rsid w:val="00167781"/>
    <w:rsid w:val="0017420B"/>
    <w:rsid w:val="0019552B"/>
    <w:rsid w:val="001A1316"/>
    <w:rsid w:val="001A58F7"/>
    <w:rsid w:val="001B47FB"/>
    <w:rsid w:val="001C525C"/>
    <w:rsid w:val="001E4814"/>
    <w:rsid w:val="001F43D8"/>
    <w:rsid w:val="001F69BB"/>
    <w:rsid w:val="0020344E"/>
    <w:rsid w:val="002114E1"/>
    <w:rsid w:val="00217977"/>
    <w:rsid w:val="00222775"/>
    <w:rsid w:val="00223D56"/>
    <w:rsid w:val="00225E9E"/>
    <w:rsid w:val="002319C9"/>
    <w:rsid w:val="00235DDA"/>
    <w:rsid w:val="002456BF"/>
    <w:rsid w:val="00252DD7"/>
    <w:rsid w:val="002568D5"/>
    <w:rsid w:val="0026664B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304097"/>
    <w:rsid w:val="003106D8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734E1"/>
    <w:rsid w:val="00381526"/>
    <w:rsid w:val="003865A2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3F5C06"/>
    <w:rsid w:val="00404E18"/>
    <w:rsid w:val="00406A09"/>
    <w:rsid w:val="004139C1"/>
    <w:rsid w:val="00415E07"/>
    <w:rsid w:val="004178F1"/>
    <w:rsid w:val="00421C5C"/>
    <w:rsid w:val="00424A5A"/>
    <w:rsid w:val="00452C1F"/>
    <w:rsid w:val="00462D69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B0888"/>
    <w:rsid w:val="004C0EED"/>
    <w:rsid w:val="004C1F92"/>
    <w:rsid w:val="004C3DEF"/>
    <w:rsid w:val="004C6115"/>
    <w:rsid w:val="004D2A21"/>
    <w:rsid w:val="004E5901"/>
    <w:rsid w:val="004E7F96"/>
    <w:rsid w:val="004F036A"/>
    <w:rsid w:val="004F1D8F"/>
    <w:rsid w:val="004F304B"/>
    <w:rsid w:val="0050463F"/>
    <w:rsid w:val="00513E0C"/>
    <w:rsid w:val="00531F24"/>
    <w:rsid w:val="00534FC8"/>
    <w:rsid w:val="005442FD"/>
    <w:rsid w:val="00547CCA"/>
    <w:rsid w:val="0055334A"/>
    <w:rsid w:val="0056218D"/>
    <w:rsid w:val="00563DE0"/>
    <w:rsid w:val="005717FD"/>
    <w:rsid w:val="00577762"/>
    <w:rsid w:val="00585D27"/>
    <w:rsid w:val="0058731A"/>
    <w:rsid w:val="00587691"/>
    <w:rsid w:val="0059010F"/>
    <w:rsid w:val="0059248B"/>
    <w:rsid w:val="005B0F7B"/>
    <w:rsid w:val="005B3956"/>
    <w:rsid w:val="005B5E4D"/>
    <w:rsid w:val="005C0A1F"/>
    <w:rsid w:val="005C3C59"/>
    <w:rsid w:val="005D0C85"/>
    <w:rsid w:val="005D5F3F"/>
    <w:rsid w:val="005E0436"/>
    <w:rsid w:val="005E595A"/>
    <w:rsid w:val="005E5D2D"/>
    <w:rsid w:val="005E642E"/>
    <w:rsid w:val="005F3D28"/>
    <w:rsid w:val="005F52AE"/>
    <w:rsid w:val="005F6E16"/>
    <w:rsid w:val="00602A30"/>
    <w:rsid w:val="006054BF"/>
    <w:rsid w:val="00606314"/>
    <w:rsid w:val="00617301"/>
    <w:rsid w:val="0063284A"/>
    <w:rsid w:val="00646289"/>
    <w:rsid w:val="00646C58"/>
    <w:rsid w:val="0065320E"/>
    <w:rsid w:val="0065480A"/>
    <w:rsid w:val="00664752"/>
    <w:rsid w:val="00664FC9"/>
    <w:rsid w:val="00673ABE"/>
    <w:rsid w:val="006777CE"/>
    <w:rsid w:val="006934E1"/>
    <w:rsid w:val="00694200"/>
    <w:rsid w:val="0069616E"/>
    <w:rsid w:val="006A0604"/>
    <w:rsid w:val="006A7042"/>
    <w:rsid w:val="006A7123"/>
    <w:rsid w:val="006A71BC"/>
    <w:rsid w:val="006B0F4B"/>
    <w:rsid w:val="006D456D"/>
    <w:rsid w:val="006D6170"/>
    <w:rsid w:val="006D7313"/>
    <w:rsid w:val="006E3E47"/>
    <w:rsid w:val="006E5C14"/>
    <w:rsid w:val="006F408B"/>
    <w:rsid w:val="00703777"/>
    <w:rsid w:val="00704BD7"/>
    <w:rsid w:val="00707437"/>
    <w:rsid w:val="00712D13"/>
    <w:rsid w:val="00716804"/>
    <w:rsid w:val="00721A2C"/>
    <w:rsid w:val="00737A20"/>
    <w:rsid w:val="0074381E"/>
    <w:rsid w:val="00747913"/>
    <w:rsid w:val="00754417"/>
    <w:rsid w:val="007569BC"/>
    <w:rsid w:val="00774B41"/>
    <w:rsid w:val="00787215"/>
    <w:rsid w:val="00795DC2"/>
    <w:rsid w:val="007A71D6"/>
    <w:rsid w:val="007B750A"/>
    <w:rsid w:val="007C0CD1"/>
    <w:rsid w:val="007C20C6"/>
    <w:rsid w:val="007C220B"/>
    <w:rsid w:val="007C257B"/>
    <w:rsid w:val="007C4FF4"/>
    <w:rsid w:val="007E0D5B"/>
    <w:rsid w:val="007E2276"/>
    <w:rsid w:val="007E418A"/>
    <w:rsid w:val="007F218B"/>
    <w:rsid w:val="00810D0C"/>
    <w:rsid w:val="00821776"/>
    <w:rsid w:val="00822F19"/>
    <w:rsid w:val="00824025"/>
    <w:rsid w:val="008277F5"/>
    <w:rsid w:val="0083255C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95DA6"/>
    <w:rsid w:val="008A2192"/>
    <w:rsid w:val="008A584F"/>
    <w:rsid w:val="008B0BE1"/>
    <w:rsid w:val="008C6A37"/>
    <w:rsid w:val="008D0B65"/>
    <w:rsid w:val="008D7A7F"/>
    <w:rsid w:val="008E4B67"/>
    <w:rsid w:val="008F0A65"/>
    <w:rsid w:val="008F24E5"/>
    <w:rsid w:val="008F2622"/>
    <w:rsid w:val="008F7F2F"/>
    <w:rsid w:val="00904239"/>
    <w:rsid w:val="0090543A"/>
    <w:rsid w:val="00912DED"/>
    <w:rsid w:val="009224E2"/>
    <w:rsid w:val="00922C71"/>
    <w:rsid w:val="00926533"/>
    <w:rsid w:val="00931ADF"/>
    <w:rsid w:val="009339F5"/>
    <w:rsid w:val="00933DD8"/>
    <w:rsid w:val="00934F3E"/>
    <w:rsid w:val="00937D77"/>
    <w:rsid w:val="00946BC0"/>
    <w:rsid w:val="00955BA0"/>
    <w:rsid w:val="00962587"/>
    <w:rsid w:val="009822BE"/>
    <w:rsid w:val="00990C9A"/>
    <w:rsid w:val="00991992"/>
    <w:rsid w:val="009970B7"/>
    <w:rsid w:val="009A08A7"/>
    <w:rsid w:val="009A3307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D6C1E"/>
    <w:rsid w:val="009E6A2C"/>
    <w:rsid w:val="009F0927"/>
    <w:rsid w:val="009F773B"/>
    <w:rsid w:val="00A01A53"/>
    <w:rsid w:val="00A020B8"/>
    <w:rsid w:val="00A1342C"/>
    <w:rsid w:val="00A155CC"/>
    <w:rsid w:val="00A169EE"/>
    <w:rsid w:val="00A25266"/>
    <w:rsid w:val="00A325D0"/>
    <w:rsid w:val="00A37FB3"/>
    <w:rsid w:val="00A410A3"/>
    <w:rsid w:val="00A43941"/>
    <w:rsid w:val="00A47F4B"/>
    <w:rsid w:val="00A50357"/>
    <w:rsid w:val="00A52A4D"/>
    <w:rsid w:val="00A54C43"/>
    <w:rsid w:val="00A54C55"/>
    <w:rsid w:val="00A54DBE"/>
    <w:rsid w:val="00A62D36"/>
    <w:rsid w:val="00A64852"/>
    <w:rsid w:val="00A74096"/>
    <w:rsid w:val="00A8081F"/>
    <w:rsid w:val="00A8708A"/>
    <w:rsid w:val="00A918A4"/>
    <w:rsid w:val="00A91C28"/>
    <w:rsid w:val="00A92155"/>
    <w:rsid w:val="00A96D04"/>
    <w:rsid w:val="00AB093E"/>
    <w:rsid w:val="00AB4CBC"/>
    <w:rsid w:val="00AB791A"/>
    <w:rsid w:val="00AC0500"/>
    <w:rsid w:val="00AC4DF4"/>
    <w:rsid w:val="00AD3AA5"/>
    <w:rsid w:val="00AD51D9"/>
    <w:rsid w:val="00AD6740"/>
    <w:rsid w:val="00AD6772"/>
    <w:rsid w:val="00AE14F7"/>
    <w:rsid w:val="00AE3DA6"/>
    <w:rsid w:val="00AF0A58"/>
    <w:rsid w:val="00AF121D"/>
    <w:rsid w:val="00AF38CA"/>
    <w:rsid w:val="00B02E72"/>
    <w:rsid w:val="00B03433"/>
    <w:rsid w:val="00B100CB"/>
    <w:rsid w:val="00B1463F"/>
    <w:rsid w:val="00B25010"/>
    <w:rsid w:val="00B2697E"/>
    <w:rsid w:val="00B2798B"/>
    <w:rsid w:val="00B370F4"/>
    <w:rsid w:val="00B4348E"/>
    <w:rsid w:val="00B45D35"/>
    <w:rsid w:val="00B47C04"/>
    <w:rsid w:val="00B53EC1"/>
    <w:rsid w:val="00B64EB1"/>
    <w:rsid w:val="00B66815"/>
    <w:rsid w:val="00B66FA2"/>
    <w:rsid w:val="00B757C2"/>
    <w:rsid w:val="00B90553"/>
    <w:rsid w:val="00B91BBF"/>
    <w:rsid w:val="00B93818"/>
    <w:rsid w:val="00B97E5F"/>
    <w:rsid w:val="00BA2588"/>
    <w:rsid w:val="00BA3C6F"/>
    <w:rsid w:val="00BA407A"/>
    <w:rsid w:val="00BA46E7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04BEF"/>
    <w:rsid w:val="00C1455B"/>
    <w:rsid w:val="00C148BB"/>
    <w:rsid w:val="00C149C4"/>
    <w:rsid w:val="00C17C17"/>
    <w:rsid w:val="00C24562"/>
    <w:rsid w:val="00C378B1"/>
    <w:rsid w:val="00C435D4"/>
    <w:rsid w:val="00C50520"/>
    <w:rsid w:val="00C529D3"/>
    <w:rsid w:val="00C617EC"/>
    <w:rsid w:val="00C63085"/>
    <w:rsid w:val="00C64338"/>
    <w:rsid w:val="00C64EC0"/>
    <w:rsid w:val="00C70269"/>
    <w:rsid w:val="00C77359"/>
    <w:rsid w:val="00C77971"/>
    <w:rsid w:val="00C8411D"/>
    <w:rsid w:val="00C84F06"/>
    <w:rsid w:val="00C96C5A"/>
    <w:rsid w:val="00CA1B19"/>
    <w:rsid w:val="00CA4D44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D055B0"/>
    <w:rsid w:val="00D07F2D"/>
    <w:rsid w:val="00D13688"/>
    <w:rsid w:val="00D14C1F"/>
    <w:rsid w:val="00D15FA8"/>
    <w:rsid w:val="00D23791"/>
    <w:rsid w:val="00D23D4D"/>
    <w:rsid w:val="00D27938"/>
    <w:rsid w:val="00D27B83"/>
    <w:rsid w:val="00D314CC"/>
    <w:rsid w:val="00D51CC5"/>
    <w:rsid w:val="00D55851"/>
    <w:rsid w:val="00D574FF"/>
    <w:rsid w:val="00D608C7"/>
    <w:rsid w:val="00D6212B"/>
    <w:rsid w:val="00D710A8"/>
    <w:rsid w:val="00D710BD"/>
    <w:rsid w:val="00D759CC"/>
    <w:rsid w:val="00D8056F"/>
    <w:rsid w:val="00D877BB"/>
    <w:rsid w:val="00D92B61"/>
    <w:rsid w:val="00DB28E7"/>
    <w:rsid w:val="00DB3194"/>
    <w:rsid w:val="00DC08C9"/>
    <w:rsid w:val="00DD2795"/>
    <w:rsid w:val="00DD6E45"/>
    <w:rsid w:val="00DE477D"/>
    <w:rsid w:val="00DE5D74"/>
    <w:rsid w:val="00DE7CDF"/>
    <w:rsid w:val="00DF0B81"/>
    <w:rsid w:val="00DF2103"/>
    <w:rsid w:val="00DF4EF1"/>
    <w:rsid w:val="00DF6570"/>
    <w:rsid w:val="00E01833"/>
    <w:rsid w:val="00E27103"/>
    <w:rsid w:val="00E37F65"/>
    <w:rsid w:val="00E51564"/>
    <w:rsid w:val="00E62551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A7E75"/>
    <w:rsid w:val="00EB06BE"/>
    <w:rsid w:val="00EB6AAF"/>
    <w:rsid w:val="00EE270C"/>
    <w:rsid w:val="00EE59CA"/>
    <w:rsid w:val="00EE6BD8"/>
    <w:rsid w:val="00EE6DAC"/>
    <w:rsid w:val="00F11449"/>
    <w:rsid w:val="00F211C0"/>
    <w:rsid w:val="00F224AE"/>
    <w:rsid w:val="00F34920"/>
    <w:rsid w:val="00F5220F"/>
    <w:rsid w:val="00F54E60"/>
    <w:rsid w:val="00F5688C"/>
    <w:rsid w:val="00F619E7"/>
    <w:rsid w:val="00F67141"/>
    <w:rsid w:val="00F729CE"/>
    <w:rsid w:val="00F81314"/>
    <w:rsid w:val="00F86B2D"/>
    <w:rsid w:val="00F86C27"/>
    <w:rsid w:val="00F86DF0"/>
    <w:rsid w:val="00F943D8"/>
    <w:rsid w:val="00FB4035"/>
    <w:rsid w:val="00FC57FA"/>
    <w:rsid w:val="00FD5E04"/>
    <w:rsid w:val="00FE3D89"/>
    <w:rsid w:val="00FE7BA7"/>
    <w:rsid w:val="00FF1C3D"/>
    <w:rsid w:val="0CA4351B"/>
    <w:rsid w:val="0D555933"/>
    <w:rsid w:val="18EC1F7A"/>
    <w:rsid w:val="1D681DEC"/>
    <w:rsid w:val="1D7F361D"/>
    <w:rsid w:val="268758BC"/>
    <w:rsid w:val="2B5F517B"/>
    <w:rsid w:val="3557428F"/>
    <w:rsid w:val="36B4EBB8"/>
    <w:rsid w:val="37FCFBDD"/>
    <w:rsid w:val="38DF0F19"/>
    <w:rsid w:val="3D407E3C"/>
    <w:rsid w:val="3E347DEF"/>
    <w:rsid w:val="3FCB28EB"/>
    <w:rsid w:val="404A467A"/>
    <w:rsid w:val="40956B0D"/>
    <w:rsid w:val="41AA665B"/>
    <w:rsid w:val="47FDCDF3"/>
    <w:rsid w:val="4ADF5380"/>
    <w:rsid w:val="4E1E02D7"/>
    <w:rsid w:val="4F204931"/>
    <w:rsid w:val="5A3E05F0"/>
    <w:rsid w:val="5CFD22CD"/>
    <w:rsid w:val="5D5A6C44"/>
    <w:rsid w:val="5FF9333B"/>
    <w:rsid w:val="693A5856"/>
    <w:rsid w:val="6A2D5246"/>
    <w:rsid w:val="6FAC5075"/>
    <w:rsid w:val="6FBC55A3"/>
    <w:rsid w:val="73A82400"/>
    <w:rsid w:val="748F20DD"/>
    <w:rsid w:val="77A77E82"/>
    <w:rsid w:val="77BE736E"/>
    <w:rsid w:val="79DC2A25"/>
    <w:rsid w:val="7BCD75C6"/>
    <w:rsid w:val="7ECE503D"/>
    <w:rsid w:val="7FD885B6"/>
    <w:rsid w:val="7FFF4223"/>
    <w:rsid w:val="8FEE0B1E"/>
    <w:rsid w:val="967FA9D3"/>
    <w:rsid w:val="BF3DF5C0"/>
    <w:rsid w:val="BFFF9C3A"/>
    <w:rsid w:val="CFDE2680"/>
    <w:rsid w:val="CFFCFB17"/>
    <w:rsid w:val="DB7BA227"/>
    <w:rsid w:val="DBB70F96"/>
    <w:rsid w:val="DCFCB04A"/>
    <w:rsid w:val="DEFFAB64"/>
    <w:rsid w:val="DF3AD55D"/>
    <w:rsid w:val="DFFF1E19"/>
    <w:rsid w:val="E7EB370F"/>
    <w:rsid w:val="EF558545"/>
    <w:rsid w:val="F0FEB611"/>
    <w:rsid w:val="F3E7BB80"/>
    <w:rsid w:val="F51C3534"/>
    <w:rsid w:val="FA5E3F2D"/>
    <w:rsid w:val="FDE5242F"/>
    <w:rsid w:val="FF7F20EE"/>
    <w:rsid w:val="FF9DC738"/>
    <w:rsid w:val="FFDFB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erif" w:hAnsi="MS Serif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uiPriority w:val="0"/>
  </w:style>
  <w:style w:type="character" w:customStyle="1" w:styleId="1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uiPriority w:val="0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paragraph" w:customStyle="1" w:styleId="16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3038</Words>
  <Characters>3445</Characters>
  <Lines>26</Lines>
  <Paragraphs>7</Paragraphs>
  <TotalTime>2</TotalTime>
  <ScaleCrop>false</ScaleCrop>
  <LinksUpToDate>false</LinksUpToDate>
  <CharactersWithSpaces>3603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2026-02-13T03:25:00Z</dcterms:created>
  <dc:creator>朱春礼</dc:creator>
  <cp:lastModifiedBy>莹~O(∩_∩)O</cp:lastModifiedBy>
  <cp:lastPrinted>2024-02-01T19:41:00Z</cp:lastPrinted>
  <dcterms:modified xsi:type="dcterms:W3CDTF">2026-02-13T05:40:51Z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E67A8E63DECE4A58A7D2A028BF295ED8</vt:lpwstr>
  </property>
  <property fmtid="{D5CDD505-2E9C-101B-9397-08002B2CF9AE}" pid="4" name="KSOTemplateDocerSaveRecord">
    <vt:lpwstr>eyJoZGlkIjoiZDVhMGQ3ZTBiYzVmMzk1YzZiM2QwNzFiMjY1YzU2YzYiLCJ1c2VySWQiOiI0MTkzODQ4NjEifQ==</vt:lpwstr>
  </property>
</Properties>
</file>