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D3E0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 w14:paraId="3CDB9F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 w14:paraId="0BE0A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 w14:paraId="10C65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 w14:paraId="16F4F9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 w14:paraId="02F6C4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 w14:paraId="18E617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 w14:paraId="170C1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 w14:paraId="19D46D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 w:bidi="ar-SA"/>
        </w:rPr>
        <w:t>天津经济技术开发区统计调查中心</w:t>
      </w:r>
    </w:p>
    <w:p w14:paraId="7AD30A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部门预算</w:t>
      </w:r>
    </w:p>
    <w:p w14:paraId="66A8D4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67E43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594753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58D0BA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03519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0076F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35D6C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5FDB41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04BCC8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1A5AD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宋体" w:hAnsi="宋体"/>
          <w:sz w:val="32"/>
          <w:szCs w:val="32"/>
        </w:rPr>
      </w:pPr>
    </w:p>
    <w:p w14:paraId="760B4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宋体" w:hAnsi="宋体"/>
          <w:sz w:val="32"/>
          <w:szCs w:val="32"/>
        </w:rPr>
      </w:pPr>
    </w:p>
    <w:p w14:paraId="309E0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宋体" w:hAnsi="宋体"/>
          <w:sz w:val="32"/>
          <w:szCs w:val="32"/>
        </w:rPr>
      </w:pPr>
    </w:p>
    <w:p w14:paraId="3B88A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黑体" w:hAnsi="MS Serif" w:eastAsia="黑体" w:cs="Times New Roman"/>
          <w:sz w:val="44"/>
          <w:szCs w:val="44"/>
        </w:rPr>
      </w:pPr>
      <w:r>
        <w:rPr>
          <w:rFonts w:hint="eastAsia" w:ascii="黑体" w:hAnsi="MS Serif" w:eastAsia="黑体" w:cs="Times New Roman"/>
          <w:sz w:val="44"/>
          <w:szCs w:val="44"/>
        </w:rPr>
        <w:t>目   录</w:t>
      </w:r>
    </w:p>
    <w:p w14:paraId="74FA43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4B7CE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第一部分  概 况</w:t>
      </w:r>
    </w:p>
    <w:p w14:paraId="58A15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一、主要职责</w:t>
      </w:r>
    </w:p>
    <w:p w14:paraId="73A7F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二、机构设置情况</w:t>
      </w:r>
    </w:p>
    <w:p w14:paraId="55DD4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第二部分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部门预算情况说明</w:t>
      </w:r>
    </w:p>
    <w:p w14:paraId="383BD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一、关于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收支预算总表的说明</w:t>
      </w:r>
    </w:p>
    <w:p w14:paraId="6D9BF7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二、关于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收入预算总表的说明</w:t>
      </w:r>
    </w:p>
    <w:p w14:paraId="17D95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三、关于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支出预算总表的说明</w:t>
      </w:r>
    </w:p>
    <w:p w14:paraId="6C9C1D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四、关于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财政拨款收支预算总表的说明</w:t>
      </w:r>
    </w:p>
    <w:p w14:paraId="2929F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五、关于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财政拨款一般公共预算支出预算表的说明</w:t>
      </w:r>
    </w:p>
    <w:p w14:paraId="039D92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六、关于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财政拨款一般公共预算基本支出预算表的说明</w:t>
      </w:r>
    </w:p>
    <w:p w14:paraId="37D0F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七、关于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财政拨款一般公共预算“三公”经费支出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预算表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的说明</w:t>
      </w:r>
    </w:p>
    <w:p w14:paraId="13AD1A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八、关于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财政拨款政府性基金预算支出预算表的说明</w:t>
      </w:r>
    </w:p>
    <w:p w14:paraId="116EE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九、关于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国有资本经营预算支出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表的说明</w:t>
      </w:r>
    </w:p>
    <w:p w14:paraId="3FA525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十、其他重要事项的情况说明</w:t>
      </w:r>
    </w:p>
    <w:p w14:paraId="148D2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第三部分  名词解释</w:t>
      </w:r>
    </w:p>
    <w:p w14:paraId="787B20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第四部分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部门预算表</w:t>
      </w:r>
    </w:p>
    <w:p w14:paraId="000A4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收支预算总表</w:t>
      </w:r>
    </w:p>
    <w:p w14:paraId="7CB09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收入预算总表</w:t>
      </w:r>
    </w:p>
    <w:p w14:paraId="3BD07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支出预算总表</w:t>
      </w:r>
    </w:p>
    <w:p w14:paraId="64484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财政拨款收支预算总表</w:t>
      </w:r>
    </w:p>
    <w:p w14:paraId="6E85FB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五、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财政拨款一般公共预算支出预算表</w:t>
      </w:r>
    </w:p>
    <w:p w14:paraId="5DE325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六、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财政拨款一般公共预算基本支出预算表</w:t>
      </w:r>
    </w:p>
    <w:p w14:paraId="6AE7B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七、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财政拨款一般公共预算“三公”经费支出预算表</w:t>
      </w:r>
    </w:p>
    <w:p w14:paraId="3F5C56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八、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财政拨款政府性基金预算支出预算表</w:t>
      </w:r>
    </w:p>
    <w:p w14:paraId="4AFCE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国有资本经营预算支出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表 </w:t>
      </w:r>
    </w:p>
    <w:p w14:paraId="1CE6E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十、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项目支出预算表</w:t>
      </w:r>
    </w:p>
    <w:p w14:paraId="35AC7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财政拨款政府采购预算表</w:t>
      </w:r>
    </w:p>
    <w:p w14:paraId="55C41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项目支出绩效目标表</w:t>
      </w:r>
    </w:p>
    <w:p w14:paraId="01AEEB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5" w:type="default"/>
          <w:footerReference r:id="rId6" w:type="default"/>
          <w:pgSz w:w="11907" w:h="16840"/>
          <w:pgMar w:top="2098" w:right="1361" w:bottom="1304" w:left="1474" w:header="765" w:footer="765" w:gutter="0"/>
          <w:pgNumType w:fmt="numberInDash"/>
          <w:cols w:space="720" w:num="1"/>
          <w:docGrid w:linePitch="326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十三、关于空表的说明</w:t>
      </w:r>
    </w:p>
    <w:p w14:paraId="69119C4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bookmarkStart w:id="0" w:name="_Toc78784554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第一部分  概 况</w:t>
      </w:r>
      <w:bookmarkEnd w:id="0"/>
    </w:p>
    <w:p w14:paraId="0292A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3FAC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1" w:name="_Toc78784555"/>
      <w:r>
        <w:rPr>
          <w:rFonts w:hint="eastAsia" w:ascii="黑体" w:hAnsi="黑体" w:eastAsia="黑体" w:cs="黑体"/>
          <w:color w:val="auto"/>
          <w:sz w:val="32"/>
          <w:szCs w:val="32"/>
        </w:rPr>
        <w:t>一、主要职责</w:t>
      </w:r>
      <w:bookmarkEnd w:id="1"/>
    </w:p>
    <w:p w14:paraId="5C770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bookmarkStart w:id="2" w:name="_Toc78784556"/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天津经济技术开发区统计调查中心，贯彻落实党中央关于统计工作的方针政策，贯彻落实党中央和天津市委、滨海新区区委、经开区党委关于统计工作的决策部署，在履行职责过程中坚持和加强党对统计工作的集中统一领导，是经开区法定专业机构。主要职责：</w:t>
      </w:r>
    </w:p>
    <w:p w14:paraId="528E7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1、负责国民经济核算工作。2、负责组织实施第二、第三产业以及能源、劳动工资等专业统计调查及相关工作。3、开展统计方法制度研究工作，制订区域统计管理办法，规划和组织全区统计基础规范化工作。4、对接、协调各职能部门，收集、整理全区各项数据、信息，建立健全经济数据库体系，建设、维护经济运行大数据平台，对外提供经济数据及信息。5、组织实施本区经济领域重大国情国力普查和各项专项调查，对有关统计数据质量进行核查和评估，按照事权分工，配合泰达街开展社会类统计调查，负责统计基本单位名录库的维护和管理工作。6、负责组织统计法律、法规和规章的宣传、贯彻实施和监督检查，配合上级统计部门开展依法查处统计违法的行为和统计违法案件，及相关法律性事务。负责统计培训工作，对其他部门承担的统计工作进行指导、管理、协调和监督。</w:t>
      </w:r>
    </w:p>
    <w:p w14:paraId="28ED8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二、机构设置</w:t>
      </w:r>
      <w:bookmarkEnd w:id="2"/>
      <w:r>
        <w:rPr>
          <w:rFonts w:hint="eastAsia" w:ascii="黑体" w:hAnsi="黑体" w:eastAsia="黑体" w:cs="黑体"/>
          <w:color w:val="auto"/>
          <w:sz w:val="32"/>
          <w:szCs w:val="32"/>
        </w:rPr>
        <w:t>情况</w:t>
      </w:r>
    </w:p>
    <w:p w14:paraId="51697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统计调查中心内设2个科室，即统计工作科、统计执法科。无其他下辖预算单位。</w:t>
      </w:r>
    </w:p>
    <w:p w14:paraId="5CD44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纳入统计调查中心2026年部门预算编制范围的预算单位即为统计调查中心本部。</w:t>
      </w:r>
    </w:p>
    <w:p w14:paraId="4F74B02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bookmarkStart w:id="3" w:name="_Toc78784570"/>
    </w:p>
    <w:p w14:paraId="7EBF226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7460A1A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737999F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51871A8C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155EB17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7A64F0A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0D19F25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4116BA5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3A00587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409671A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744734C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29375B1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1867694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6A215C8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2C320AC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752D876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498B794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49D7DFA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79A910A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4319AE2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3BE1BF0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1AB79CBF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第二部分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部门预算情况说明</w:t>
      </w:r>
      <w:bookmarkEnd w:id="3"/>
    </w:p>
    <w:p w14:paraId="6E06EC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8A94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4" w:name="_Toc78784571"/>
      <w:r>
        <w:rPr>
          <w:rFonts w:hint="eastAsia" w:ascii="黑体" w:hAnsi="黑体" w:eastAsia="黑体" w:cs="黑体"/>
          <w:sz w:val="32"/>
          <w:szCs w:val="32"/>
        </w:rPr>
        <w:t>一、</w:t>
      </w:r>
      <w:bookmarkEnd w:id="4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收支预算总表的说明</w:t>
      </w:r>
    </w:p>
    <w:p w14:paraId="744C1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按照综合预算的原则，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所有收入和支出均纳入部门预算管理。收入包括：一般公共预算拨款收入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314.79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万元、政府性基金预算拨款收入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万元、国有资本经营预算拨款收入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万元、纳入财政专户的教育收费拨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款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万元、其他事业收入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万元、经营收入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万元、上级补助收入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万元、其他收入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元、上年结转和结余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万元；支出包括：一般公共服务支出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314.79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收支总预算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314.79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6C7BF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5" w:name="_Toc78784572"/>
      <w:r>
        <w:rPr>
          <w:rFonts w:hint="eastAsia" w:ascii="黑体" w:hAnsi="黑体" w:eastAsia="黑体" w:cs="黑体"/>
          <w:sz w:val="32"/>
          <w:szCs w:val="32"/>
        </w:rPr>
        <w:t>二、</w:t>
      </w:r>
      <w:bookmarkEnd w:id="5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收入预算总表的说明</w:t>
      </w:r>
    </w:p>
    <w:p w14:paraId="46C5F3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部门预算收入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314.79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324.72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本年度没有重大国情国力调查任务，故与上年度相比项目预算大幅减少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。其中：上年结转和结余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%；一般公共预算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314.79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%；政府性基金预算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%；国有资本经营预算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%；纳入财政专户的教育收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费拨款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%；其他事业收入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53367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6" w:name="_Toc78784573"/>
      <w:r>
        <w:rPr>
          <w:rFonts w:hint="eastAsia" w:ascii="黑体" w:hAnsi="黑体" w:eastAsia="黑体" w:cs="黑体"/>
          <w:sz w:val="32"/>
          <w:szCs w:val="32"/>
        </w:rPr>
        <w:t>三、</w:t>
      </w:r>
      <w:bookmarkEnd w:id="6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支出预算总表的说明</w:t>
      </w:r>
    </w:p>
    <w:p w14:paraId="697C9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314.79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324.72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本年度没有重大国情国力调查任务，故与上年度相比项目预算大幅减少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。其中：基本支出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308.79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98.09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1.91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%。 </w:t>
      </w:r>
    </w:p>
    <w:p w14:paraId="3C60F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7" w:name="_Toc78784574"/>
      <w:r>
        <w:rPr>
          <w:rFonts w:hint="eastAsia" w:ascii="黑体" w:hAnsi="黑体" w:eastAsia="黑体" w:cs="黑体"/>
          <w:sz w:val="32"/>
          <w:szCs w:val="32"/>
        </w:rPr>
        <w:t>四、</w:t>
      </w:r>
      <w:bookmarkEnd w:id="7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财政拨款收支预算总表的说明</w:t>
      </w:r>
    </w:p>
    <w:p w14:paraId="3255FF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财政拨款收入预算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314.79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324.72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本年度没有重大国情国力调查任务，故与上年度相比项目预算大幅减少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。收入包括：一般公共预算拨款收入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314.79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万元、政府性基金预算拨款收入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万元、国有资本经营预算拨款收入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万元、上年财政结转和结余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财政拨款支出预算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314.79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324.72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本年度没有重大国情国力调查任务，故与上年度相比项目预算大幅减少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。支出包括：一般公共服务支出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314.79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034A9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8" w:name="_Toc78784575"/>
      <w:r>
        <w:rPr>
          <w:rFonts w:hint="eastAsia" w:ascii="黑体" w:hAnsi="黑体" w:eastAsia="黑体" w:cs="黑体"/>
          <w:sz w:val="32"/>
          <w:szCs w:val="32"/>
        </w:rPr>
        <w:t>五、</w:t>
      </w:r>
      <w:bookmarkEnd w:id="8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财政拨款一般公共预算支出预算表的说明</w:t>
      </w:r>
    </w:p>
    <w:p w14:paraId="2E7B7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（一）总体情况</w:t>
      </w:r>
    </w:p>
    <w:p w14:paraId="6BE1B2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314.79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324.72万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本年度没有重大国情国力调查任务，故与上年度相比项目预算大幅减少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9B56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（二）具体情况</w:t>
      </w:r>
    </w:p>
    <w:p w14:paraId="25D8ED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“一般公共服务支出”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314.79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324.72万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本年度没有重大国情国力调查任务，故与上年度相比项目预算大幅减少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，其中：</w:t>
      </w:r>
    </w:p>
    <w:p w14:paraId="6B2AF0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“统计信息事务”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314.79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万元，包括：“事业运行”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308.79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人员和公用支出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；“一般行政管理事务”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项目支出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37D9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_Toc78784576"/>
      <w:r>
        <w:rPr>
          <w:rFonts w:hint="eastAsia" w:ascii="黑体" w:hAnsi="黑体" w:eastAsia="黑体" w:cs="黑体"/>
          <w:sz w:val="32"/>
          <w:szCs w:val="32"/>
        </w:rPr>
        <w:t>六、</w:t>
      </w:r>
      <w:bookmarkEnd w:id="9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财政拨款一般公共预算基本支出预算表的说明</w:t>
      </w:r>
    </w:p>
    <w:p w14:paraId="7BAAB9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部门一般公共预算基本支出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308.79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17.72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人员和公用经费支出均有小幅下降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</w:t>
      </w:r>
    </w:p>
    <w:p w14:paraId="7014ED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288.77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万元，主要包括：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基本工资、津贴补贴、养老医疗、住房公积金等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A437D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20.02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万元，主要包括：</w:t>
      </w:r>
      <w:r>
        <w:rPr>
          <w:rFonts w:hint="eastAsia" w:eastAsia="仿宋_GB2312"/>
          <w:sz w:val="30"/>
          <w:szCs w:val="30"/>
        </w:rPr>
        <w:t>办公费、差旅费、</w:t>
      </w:r>
      <w:r>
        <w:rPr>
          <w:rFonts w:hint="eastAsia" w:eastAsia="仿宋_GB2312"/>
          <w:sz w:val="30"/>
          <w:szCs w:val="30"/>
          <w:lang w:val="en-US" w:eastAsia="zh-CN"/>
        </w:rPr>
        <w:t>手续费</w:t>
      </w:r>
      <w:r>
        <w:rPr>
          <w:rFonts w:hint="eastAsia" w:eastAsia="仿宋_GB2312"/>
          <w:sz w:val="30"/>
          <w:szCs w:val="30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10A8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10" w:name="_Toc78784577"/>
      <w:r>
        <w:rPr>
          <w:rFonts w:hint="eastAsia" w:ascii="黑体" w:hAnsi="黑体" w:eastAsia="黑体" w:cs="黑体"/>
          <w:sz w:val="32"/>
          <w:szCs w:val="32"/>
        </w:rPr>
        <w:t>七、关于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财政拨款一般公共预算“三公”经费支出预算表的说明</w:t>
      </w:r>
    </w:p>
    <w:p w14:paraId="02974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一般公共预算“三公”经费安排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预算相比增加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2026年是“十五五”开局之年，做好上级相关部门调研等接待任务的预算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  </w:t>
      </w:r>
    </w:p>
    <w:p w14:paraId="085CE1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具体情况：</w:t>
      </w:r>
    </w:p>
    <w:p w14:paraId="156289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预算相比增加（减少）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>一般公共预算未安排“三公”经费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066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公务用车购置及运行费预算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万元，其中公务用车运行费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预算相比增加（减少）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>一般公共预算未安排“三公”经费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；公务用车购置费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预算相比增加（减少）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>一般公共预算未安排“三公”经费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5000E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公务接待费预算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预算相比增加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2026年是“十五五”开局之年，做好上级相关部门调研等接待任务的预算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9A1F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</w:t>
      </w:r>
      <w:bookmarkEnd w:id="10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财政拨款政府性基金预算支出预算表的说明</w:t>
      </w:r>
    </w:p>
    <w:p w14:paraId="6CF6B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2026年本部门预算中没有使用政府性基金预算安排的支出。</w:t>
      </w:r>
    </w:p>
    <w:p w14:paraId="23D8E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11" w:name="_Toc78784578"/>
      <w:r>
        <w:rPr>
          <w:rFonts w:hint="eastAsia" w:ascii="黑体" w:hAnsi="黑体" w:eastAsia="黑体" w:cs="黑体"/>
          <w:sz w:val="32"/>
          <w:szCs w:val="32"/>
        </w:rPr>
        <w:t>九、关于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国有资本经营预算支出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sz w:val="32"/>
          <w:szCs w:val="32"/>
        </w:rPr>
        <w:t>表</w:t>
      </w:r>
      <w:bookmarkEnd w:id="11"/>
      <w:r>
        <w:rPr>
          <w:rFonts w:hint="eastAsia" w:ascii="黑体" w:hAnsi="黑体" w:eastAsia="黑体" w:cs="黑体"/>
          <w:sz w:val="32"/>
          <w:szCs w:val="32"/>
        </w:rPr>
        <w:t>的说明</w:t>
      </w:r>
    </w:p>
    <w:p w14:paraId="79249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2026年本部门预算中没有使用国有资本经营预算安排的支出。</w:t>
      </w:r>
    </w:p>
    <w:p w14:paraId="6C95B4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12" w:name="_Toc78784579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十、其他重要事项的情况说明</w:t>
      </w:r>
    </w:p>
    <w:p w14:paraId="728E2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（一）机关运行经费</w:t>
      </w:r>
      <w:bookmarkEnd w:id="12"/>
    </w:p>
    <w:p w14:paraId="7267D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机关运行经费预算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20.02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万元，包括办公费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</w:t>
      </w:r>
      <w:r>
        <w:rPr>
          <w:rFonts w:hint="eastAsia" w:eastAsia="仿宋_GB2312"/>
          <w:sz w:val="30"/>
          <w:szCs w:val="30"/>
        </w:rPr>
        <w:t>手续费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0.13</w:t>
      </w:r>
      <w:r>
        <w:rPr>
          <w:rFonts w:hint="eastAsia" w:eastAsia="仿宋_GB2312"/>
          <w:sz w:val="30"/>
          <w:szCs w:val="30"/>
        </w:rPr>
        <w:t>万元、水费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0.3</w:t>
      </w:r>
      <w:r>
        <w:rPr>
          <w:rFonts w:hint="eastAsia" w:eastAsia="仿宋_GB2312"/>
          <w:sz w:val="30"/>
          <w:szCs w:val="30"/>
        </w:rPr>
        <w:t>万元、邮电费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0.02</w:t>
      </w:r>
      <w:r>
        <w:rPr>
          <w:rFonts w:hint="eastAsia" w:eastAsia="仿宋_GB2312"/>
          <w:sz w:val="30"/>
          <w:szCs w:val="30"/>
        </w:rPr>
        <w:t>万元、差旅费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eastAsia="仿宋_GB2312"/>
          <w:sz w:val="30"/>
          <w:szCs w:val="30"/>
        </w:rPr>
        <w:t>万元、</w:t>
      </w:r>
      <w:r>
        <w:rPr>
          <w:rFonts w:hint="eastAsia" w:eastAsia="仿宋_GB2312"/>
          <w:sz w:val="30"/>
          <w:szCs w:val="30"/>
          <w:lang w:val="en-US" w:eastAsia="zh-CN"/>
        </w:rPr>
        <w:t>公务接待费</w:t>
      </w:r>
      <w:bookmarkStart w:id="14" w:name="_GoBack"/>
      <w:bookmarkEnd w:id="14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0.1</w:t>
      </w:r>
      <w:r>
        <w:rPr>
          <w:rFonts w:hint="eastAsia" w:eastAsia="仿宋_GB2312"/>
          <w:sz w:val="30"/>
          <w:szCs w:val="30"/>
          <w:lang w:val="en-US" w:eastAsia="zh-CN"/>
        </w:rPr>
        <w:t>万元，培训费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0.2</w:t>
      </w:r>
      <w:r>
        <w:rPr>
          <w:rFonts w:hint="eastAsia" w:eastAsia="仿宋_GB2312"/>
          <w:sz w:val="30"/>
          <w:szCs w:val="30"/>
          <w:lang w:val="en-US" w:eastAsia="zh-CN"/>
        </w:rPr>
        <w:t>万元，</w:t>
      </w:r>
      <w:r>
        <w:rPr>
          <w:rFonts w:hint="eastAsia" w:eastAsia="仿宋_GB2312"/>
          <w:sz w:val="30"/>
          <w:szCs w:val="30"/>
        </w:rPr>
        <w:t>委托业务费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3.4</w:t>
      </w:r>
      <w:r>
        <w:rPr>
          <w:rFonts w:hint="eastAsia" w:eastAsia="仿宋_GB2312"/>
          <w:sz w:val="30"/>
          <w:szCs w:val="30"/>
        </w:rPr>
        <w:t>万元，其他交通费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4.32</w:t>
      </w:r>
      <w:r>
        <w:rPr>
          <w:rFonts w:hint="eastAsia" w:eastAsia="仿宋_GB2312"/>
          <w:sz w:val="30"/>
          <w:szCs w:val="30"/>
        </w:rPr>
        <w:t>万元，其他商品和服务支出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2.05</w:t>
      </w:r>
      <w:r>
        <w:rPr>
          <w:rFonts w:hint="eastAsia" w:eastAsia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18B1E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（二）政府采购情况</w:t>
      </w:r>
    </w:p>
    <w:p w14:paraId="2B91C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安排政府采购预算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其中：政府采购货物支出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万元、政府采购工程支出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万元、政府采购服务支出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万元。主要项目是：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4BA4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（三）国有资产占用情况</w:t>
      </w:r>
    </w:p>
    <w:p w14:paraId="1600EE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截至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各单位共有车辆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辆，其中：副部（省）级及以上领导用车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辆、主要领导干部用车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辆、机要通信用车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辆、离退休干部用车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其他用车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其他用车主要包括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。单价50万元以上的通用设备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台（套），单价100万元以上的专用设备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台（套）。</w:t>
      </w:r>
    </w:p>
    <w:p w14:paraId="14E8B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（四）预算绩效情况说明</w:t>
      </w:r>
    </w:p>
    <w:p w14:paraId="1D364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实行绩效目标管理的项目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个，涉及预算金额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元。</w:t>
      </w:r>
    </w:p>
    <w:p w14:paraId="4C7AD19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bookmarkStart w:id="13" w:name="_Toc78784585"/>
    </w:p>
    <w:p w14:paraId="41346B1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3B4EE54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6E33F79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55C4218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233F990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7DFACF8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33215FD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6E6470FF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0CE7FFC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第三部分  名词解释</w:t>
      </w:r>
      <w:bookmarkEnd w:id="13"/>
    </w:p>
    <w:p w14:paraId="7CDF44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4C598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1.部门预算。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是指主管预算部门依据相关法律、法规和政策规定及其行使职能需要，组织所属预算单位编制并逐级上报、审核、汇总，经财政部门审核后按程序依法批准的部门综合收支计划。</w:t>
      </w:r>
    </w:p>
    <w:p w14:paraId="208237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 机关运行经费。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14:paraId="6E5524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  <w:sectPr>
          <w:pgSz w:w="11907" w:h="16840"/>
          <w:pgMar w:top="2098" w:right="1361" w:bottom="1304" w:left="1474" w:header="765" w:footer="765" w:gutter="0"/>
          <w:pgNumType w:fmt="numberInDash"/>
          <w:cols w:space="720" w:num="1"/>
          <w:docGrid w:linePitch="326" w:charSpace="0"/>
        </w:sectPr>
      </w:pPr>
    </w:p>
    <w:p w14:paraId="091A035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第四部分  2026年部门预算表</w:t>
      </w:r>
    </w:p>
    <w:p w14:paraId="3E494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A8FD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收支预算总表</w:t>
      </w:r>
    </w:p>
    <w:p w14:paraId="39793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收入预算总表</w:t>
      </w:r>
    </w:p>
    <w:p w14:paraId="687B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支出预算总表</w:t>
      </w:r>
    </w:p>
    <w:p w14:paraId="6B6E7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财政拨款收支预算总表</w:t>
      </w:r>
    </w:p>
    <w:p w14:paraId="74F42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财政拨款一般公共预算支出预算表</w:t>
      </w:r>
    </w:p>
    <w:p w14:paraId="229F3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财政拨款一般公共预算基本支出预算表</w:t>
      </w:r>
    </w:p>
    <w:p w14:paraId="37C0D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财政拨款政府性基金预算支出预算表</w:t>
      </w:r>
    </w:p>
    <w:p w14:paraId="1EEBC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财政拨款一般公共预算“三公”经费支出预算表</w:t>
      </w:r>
    </w:p>
    <w:p w14:paraId="661C5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财政拨款政府采购预算表</w:t>
      </w:r>
    </w:p>
    <w:p w14:paraId="49F7D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项目支出预算表  </w:t>
      </w:r>
    </w:p>
    <w:p w14:paraId="340A5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国有资本经营预算支出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</w:p>
    <w:p w14:paraId="23435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项目支出绩效目标表</w:t>
      </w:r>
    </w:p>
    <w:p w14:paraId="5F77B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十三、关于空表的说明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3E006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财政拨款政府性基金预算支出预算表为空表。</w:t>
      </w:r>
    </w:p>
    <w:p w14:paraId="07978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 本部门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国有资本经营预算支出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表为空表。</w:t>
      </w:r>
    </w:p>
    <w:p w14:paraId="11A7E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</w:p>
    <w:sectPr>
      <w:pgSz w:w="11907" w:h="16840"/>
      <w:pgMar w:top="2098" w:right="1361" w:bottom="1304" w:left="1474" w:header="765" w:footer="765" w:gutter="0"/>
      <w:pgNumType w:fmt="numberInDash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erif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28005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084C6">
                          <w:pPr>
                            <w:pStyle w:val="6"/>
                            <w:jc w:val="center"/>
                            <w:rPr>
                              <w:rFonts w:ascii="仿宋_GB2312" w:hAnsi="仿宋_GB2312"/>
                              <w:sz w:val="18"/>
                            </w:rPr>
                          </w:pPr>
                          <w:r>
                            <w:rPr>
                              <w:rFonts w:ascii="仿宋_GB2312" w:hAnsi="仿宋_GB231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/>
                              <w:sz w:val="1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_GB2312" w:hAnsi="仿宋_GB231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/>
                              <w:sz w:val="1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hAnsi="仿宋_GB2312"/>
                              <w:sz w:val="18"/>
                            </w:rPr>
                            <w:t xml:space="preserve"> 5 -</w:t>
                          </w:r>
                          <w:r>
                            <w:rPr>
                              <w:rFonts w:ascii="仿宋_GB2312" w:hAnsi="仿宋_GB231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B084C6">
                    <w:pPr>
                      <w:pStyle w:val="6"/>
                      <w:jc w:val="center"/>
                      <w:rPr>
                        <w:rFonts w:ascii="仿宋_GB2312" w:hAnsi="仿宋_GB2312"/>
                        <w:sz w:val="18"/>
                      </w:rPr>
                    </w:pPr>
                    <w:r>
                      <w:rPr>
                        <w:rFonts w:ascii="仿宋_GB2312" w:hAnsi="仿宋_GB2312"/>
                        <w:sz w:val="18"/>
                      </w:rPr>
                      <w:fldChar w:fldCharType="begin"/>
                    </w:r>
                    <w:r>
                      <w:rPr>
                        <w:rFonts w:ascii="仿宋_GB2312" w:hAnsi="仿宋_GB2312"/>
                        <w:sz w:val="18"/>
                      </w:rPr>
                      <w:instrText xml:space="preserve">PAGE   \* MERGEFORMAT</w:instrText>
                    </w:r>
                    <w:r>
                      <w:rPr>
                        <w:rFonts w:ascii="仿宋_GB2312" w:hAnsi="仿宋_GB2312"/>
                        <w:sz w:val="18"/>
                      </w:rPr>
                      <w:fldChar w:fldCharType="separate"/>
                    </w:r>
                    <w:r>
                      <w:rPr>
                        <w:rFonts w:ascii="仿宋_GB2312" w:hAnsi="仿宋_GB2312"/>
                        <w:sz w:val="18"/>
                        <w:lang w:val="zh-CN"/>
                      </w:rPr>
                      <w:t>-</w:t>
                    </w:r>
                    <w:r>
                      <w:rPr>
                        <w:rFonts w:ascii="仿宋_GB2312" w:hAnsi="仿宋_GB2312"/>
                        <w:sz w:val="18"/>
                      </w:rPr>
                      <w:t xml:space="preserve"> 5 -</w:t>
                    </w:r>
                    <w:r>
                      <w:rPr>
                        <w:rFonts w:ascii="仿宋_GB2312" w:hAnsi="仿宋_GB2312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100FE8B"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5797C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NmNjMzE3ZWEwZWZjNDMyMDU1YzY5M2ExYzdmOWIifQ=="/>
  </w:docVars>
  <w:rsids>
    <w:rsidRoot w:val="00937D77"/>
    <w:rsid w:val="00000C3D"/>
    <w:rsid w:val="0001204D"/>
    <w:rsid w:val="00014B7E"/>
    <w:rsid w:val="000162FC"/>
    <w:rsid w:val="00020DAE"/>
    <w:rsid w:val="00024FCC"/>
    <w:rsid w:val="00025DCF"/>
    <w:rsid w:val="00026B49"/>
    <w:rsid w:val="000279BC"/>
    <w:rsid w:val="00035889"/>
    <w:rsid w:val="0003736F"/>
    <w:rsid w:val="00040A70"/>
    <w:rsid w:val="000546FB"/>
    <w:rsid w:val="00055156"/>
    <w:rsid w:val="000561F0"/>
    <w:rsid w:val="00066DA5"/>
    <w:rsid w:val="00081133"/>
    <w:rsid w:val="00082771"/>
    <w:rsid w:val="00093F1A"/>
    <w:rsid w:val="00097C4D"/>
    <w:rsid w:val="000A4C45"/>
    <w:rsid w:val="000A6A5A"/>
    <w:rsid w:val="000B1B04"/>
    <w:rsid w:val="000B5758"/>
    <w:rsid w:val="000C211F"/>
    <w:rsid w:val="000C3FFB"/>
    <w:rsid w:val="000C5349"/>
    <w:rsid w:val="000C704F"/>
    <w:rsid w:val="000D1BEF"/>
    <w:rsid w:val="000E221E"/>
    <w:rsid w:val="000E5A14"/>
    <w:rsid w:val="000E7C91"/>
    <w:rsid w:val="000F2DDD"/>
    <w:rsid w:val="00103D12"/>
    <w:rsid w:val="001044EF"/>
    <w:rsid w:val="00107793"/>
    <w:rsid w:val="00107F74"/>
    <w:rsid w:val="00115667"/>
    <w:rsid w:val="00141FB3"/>
    <w:rsid w:val="00143640"/>
    <w:rsid w:val="00146622"/>
    <w:rsid w:val="00151976"/>
    <w:rsid w:val="00151DB8"/>
    <w:rsid w:val="00151E56"/>
    <w:rsid w:val="001574DB"/>
    <w:rsid w:val="001616F8"/>
    <w:rsid w:val="001639E6"/>
    <w:rsid w:val="0016548E"/>
    <w:rsid w:val="00167781"/>
    <w:rsid w:val="0017420B"/>
    <w:rsid w:val="0019552B"/>
    <w:rsid w:val="001A1316"/>
    <w:rsid w:val="001A58F7"/>
    <w:rsid w:val="001B47FB"/>
    <w:rsid w:val="001C525C"/>
    <w:rsid w:val="001E4814"/>
    <w:rsid w:val="001F43D8"/>
    <w:rsid w:val="001F69BB"/>
    <w:rsid w:val="0020344E"/>
    <w:rsid w:val="002114E1"/>
    <w:rsid w:val="00217977"/>
    <w:rsid w:val="00222775"/>
    <w:rsid w:val="00223D56"/>
    <w:rsid w:val="00225E9E"/>
    <w:rsid w:val="002319C9"/>
    <w:rsid w:val="00235DDA"/>
    <w:rsid w:val="002456BF"/>
    <w:rsid w:val="00252DD7"/>
    <w:rsid w:val="002568D5"/>
    <w:rsid w:val="0026664B"/>
    <w:rsid w:val="00290082"/>
    <w:rsid w:val="00290EAC"/>
    <w:rsid w:val="00293ACA"/>
    <w:rsid w:val="002A1782"/>
    <w:rsid w:val="002A23DC"/>
    <w:rsid w:val="002A3DBF"/>
    <w:rsid w:val="002D67AE"/>
    <w:rsid w:val="002D715E"/>
    <w:rsid w:val="002E3C02"/>
    <w:rsid w:val="002F0601"/>
    <w:rsid w:val="002F0F40"/>
    <w:rsid w:val="002F0F49"/>
    <w:rsid w:val="00304097"/>
    <w:rsid w:val="003147A8"/>
    <w:rsid w:val="0032641E"/>
    <w:rsid w:val="003407F4"/>
    <w:rsid w:val="00343F3E"/>
    <w:rsid w:val="0035053A"/>
    <w:rsid w:val="0035182A"/>
    <w:rsid w:val="003609DB"/>
    <w:rsid w:val="00361453"/>
    <w:rsid w:val="00364050"/>
    <w:rsid w:val="003734E1"/>
    <w:rsid w:val="00381526"/>
    <w:rsid w:val="00386D08"/>
    <w:rsid w:val="00391275"/>
    <w:rsid w:val="003929CE"/>
    <w:rsid w:val="003A5370"/>
    <w:rsid w:val="003A7D0E"/>
    <w:rsid w:val="003B24BB"/>
    <w:rsid w:val="003B3A66"/>
    <w:rsid w:val="003C1B4D"/>
    <w:rsid w:val="003C2CCF"/>
    <w:rsid w:val="003D48A4"/>
    <w:rsid w:val="003D647A"/>
    <w:rsid w:val="003E3EA7"/>
    <w:rsid w:val="003F4CDB"/>
    <w:rsid w:val="00404E18"/>
    <w:rsid w:val="00406A09"/>
    <w:rsid w:val="004139C1"/>
    <w:rsid w:val="00415E07"/>
    <w:rsid w:val="004178F1"/>
    <w:rsid w:val="00421C5C"/>
    <w:rsid w:val="00424A5A"/>
    <w:rsid w:val="00452C1F"/>
    <w:rsid w:val="00462D69"/>
    <w:rsid w:val="004645C1"/>
    <w:rsid w:val="004654FD"/>
    <w:rsid w:val="004660E2"/>
    <w:rsid w:val="0046727B"/>
    <w:rsid w:val="0047004A"/>
    <w:rsid w:val="00472621"/>
    <w:rsid w:val="00474C09"/>
    <w:rsid w:val="0048352E"/>
    <w:rsid w:val="004A5DF5"/>
    <w:rsid w:val="004A6EE3"/>
    <w:rsid w:val="004B0888"/>
    <w:rsid w:val="004C0EED"/>
    <w:rsid w:val="004C1F92"/>
    <w:rsid w:val="004C3DEF"/>
    <w:rsid w:val="004D2A21"/>
    <w:rsid w:val="004E5901"/>
    <w:rsid w:val="004E7F96"/>
    <w:rsid w:val="004F1D8F"/>
    <w:rsid w:val="004F304B"/>
    <w:rsid w:val="0050463F"/>
    <w:rsid w:val="00513E0C"/>
    <w:rsid w:val="00531F24"/>
    <w:rsid w:val="00534FC8"/>
    <w:rsid w:val="005442FD"/>
    <w:rsid w:val="00547CCA"/>
    <w:rsid w:val="0055334A"/>
    <w:rsid w:val="0056218D"/>
    <w:rsid w:val="00563DE0"/>
    <w:rsid w:val="005717FD"/>
    <w:rsid w:val="00577762"/>
    <w:rsid w:val="00585D27"/>
    <w:rsid w:val="0058731A"/>
    <w:rsid w:val="00587691"/>
    <w:rsid w:val="0059010F"/>
    <w:rsid w:val="0059248B"/>
    <w:rsid w:val="005B0F7B"/>
    <w:rsid w:val="005B3956"/>
    <w:rsid w:val="005B5E4D"/>
    <w:rsid w:val="005C0A1F"/>
    <w:rsid w:val="005C3C59"/>
    <w:rsid w:val="005D0C85"/>
    <w:rsid w:val="005D5F3F"/>
    <w:rsid w:val="005E0436"/>
    <w:rsid w:val="005E595A"/>
    <w:rsid w:val="005E5D2D"/>
    <w:rsid w:val="005E642E"/>
    <w:rsid w:val="005F3D28"/>
    <w:rsid w:val="005F52AE"/>
    <w:rsid w:val="005F6E16"/>
    <w:rsid w:val="00602A30"/>
    <w:rsid w:val="006054BF"/>
    <w:rsid w:val="00606314"/>
    <w:rsid w:val="00617301"/>
    <w:rsid w:val="0063284A"/>
    <w:rsid w:val="00646289"/>
    <w:rsid w:val="00646C58"/>
    <w:rsid w:val="0065320E"/>
    <w:rsid w:val="00664752"/>
    <w:rsid w:val="00664FC9"/>
    <w:rsid w:val="00673ABE"/>
    <w:rsid w:val="006777CE"/>
    <w:rsid w:val="006934E1"/>
    <w:rsid w:val="00694200"/>
    <w:rsid w:val="0069616E"/>
    <w:rsid w:val="006A0604"/>
    <w:rsid w:val="006A7042"/>
    <w:rsid w:val="006A7123"/>
    <w:rsid w:val="006A71BC"/>
    <w:rsid w:val="006B0F4B"/>
    <w:rsid w:val="006D456D"/>
    <w:rsid w:val="006D6170"/>
    <w:rsid w:val="006D7313"/>
    <w:rsid w:val="006E5C14"/>
    <w:rsid w:val="006F408B"/>
    <w:rsid w:val="00703777"/>
    <w:rsid w:val="00704BD7"/>
    <w:rsid w:val="00707437"/>
    <w:rsid w:val="00712D13"/>
    <w:rsid w:val="00716804"/>
    <w:rsid w:val="00721A2C"/>
    <w:rsid w:val="00737A20"/>
    <w:rsid w:val="0074381E"/>
    <w:rsid w:val="00747913"/>
    <w:rsid w:val="00754417"/>
    <w:rsid w:val="00774B41"/>
    <w:rsid w:val="00787215"/>
    <w:rsid w:val="00795DC2"/>
    <w:rsid w:val="007A71D6"/>
    <w:rsid w:val="007B750A"/>
    <w:rsid w:val="007C0CD1"/>
    <w:rsid w:val="007C20C6"/>
    <w:rsid w:val="007C220B"/>
    <w:rsid w:val="007C257B"/>
    <w:rsid w:val="007C4FF4"/>
    <w:rsid w:val="007E0D5B"/>
    <w:rsid w:val="007E2276"/>
    <w:rsid w:val="007E418A"/>
    <w:rsid w:val="007F218B"/>
    <w:rsid w:val="00810D0C"/>
    <w:rsid w:val="00821776"/>
    <w:rsid w:val="00824025"/>
    <w:rsid w:val="008277F5"/>
    <w:rsid w:val="0083475B"/>
    <w:rsid w:val="008370F2"/>
    <w:rsid w:val="00841058"/>
    <w:rsid w:val="00844953"/>
    <w:rsid w:val="00846C2E"/>
    <w:rsid w:val="00847B3C"/>
    <w:rsid w:val="00851ECC"/>
    <w:rsid w:val="00861D45"/>
    <w:rsid w:val="00866211"/>
    <w:rsid w:val="00890F33"/>
    <w:rsid w:val="00895DA6"/>
    <w:rsid w:val="008A2192"/>
    <w:rsid w:val="008A584F"/>
    <w:rsid w:val="008B0BE1"/>
    <w:rsid w:val="008C6A37"/>
    <w:rsid w:val="008D0B65"/>
    <w:rsid w:val="008D7A7F"/>
    <w:rsid w:val="008E4B67"/>
    <w:rsid w:val="008F0A65"/>
    <w:rsid w:val="008F2622"/>
    <w:rsid w:val="008F7F2F"/>
    <w:rsid w:val="00904239"/>
    <w:rsid w:val="0090543A"/>
    <w:rsid w:val="00912DED"/>
    <w:rsid w:val="009224E2"/>
    <w:rsid w:val="00922C71"/>
    <w:rsid w:val="00926533"/>
    <w:rsid w:val="00931ADF"/>
    <w:rsid w:val="009339F5"/>
    <w:rsid w:val="00933DD8"/>
    <w:rsid w:val="00934F3E"/>
    <w:rsid w:val="00937D77"/>
    <w:rsid w:val="00946BC0"/>
    <w:rsid w:val="00962587"/>
    <w:rsid w:val="009822BE"/>
    <w:rsid w:val="00990C9A"/>
    <w:rsid w:val="00991992"/>
    <w:rsid w:val="009970B7"/>
    <w:rsid w:val="009A08A7"/>
    <w:rsid w:val="009A3307"/>
    <w:rsid w:val="009A45FD"/>
    <w:rsid w:val="009A47C1"/>
    <w:rsid w:val="009B0D59"/>
    <w:rsid w:val="009B0FCC"/>
    <w:rsid w:val="009C3FA3"/>
    <w:rsid w:val="009C4227"/>
    <w:rsid w:val="009C5EC4"/>
    <w:rsid w:val="009D1FD1"/>
    <w:rsid w:val="009D2134"/>
    <w:rsid w:val="009E6A2C"/>
    <w:rsid w:val="009F0927"/>
    <w:rsid w:val="009F773B"/>
    <w:rsid w:val="00A01A53"/>
    <w:rsid w:val="00A020B8"/>
    <w:rsid w:val="00A1342C"/>
    <w:rsid w:val="00A155CC"/>
    <w:rsid w:val="00A169EE"/>
    <w:rsid w:val="00A25266"/>
    <w:rsid w:val="00A325D0"/>
    <w:rsid w:val="00A37FB3"/>
    <w:rsid w:val="00A410A3"/>
    <w:rsid w:val="00A43941"/>
    <w:rsid w:val="00A47F4B"/>
    <w:rsid w:val="00A50357"/>
    <w:rsid w:val="00A52A4D"/>
    <w:rsid w:val="00A54C43"/>
    <w:rsid w:val="00A54C55"/>
    <w:rsid w:val="00A54DBE"/>
    <w:rsid w:val="00A62D36"/>
    <w:rsid w:val="00A64852"/>
    <w:rsid w:val="00A74096"/>
    <w:rsid w:val="00A8081F"/>
    <w:rsid w:val="00A8708A"/>
    <w:rsid w:val="00A918A4"/>
    <w:rsid w:val="00A91C28"/>
    <w:rsid w:val="00A92155"/>
    <w:rsid w:val="00A96D04"/>
    <w:rsid w:val="00AB093E"/>
    <w:rsid w:val="00AB4CBC"/>
    <w:rsid w:val="00AB791A"/>
    <w:rsid w:val="00AC0500"/>
    <w:rsid w:val="00AC4DF4"/>
    <w:rsid w:val="00AD3AA5"/>
    <w:rsid w:val="00AD51D9"/>
    <w:rsid w:val="00AD6740"/>
    <w:rsid w:val="00AD6772"/>
    <w:rsid w:val="00AE14F7"/>
    <w:rsid w:val="00AE3DA6"/>
    <w:rsid w:val="00AF0A58"/>
    <w:rsid w:val="00AF121D"/>
    <w:rsid w:val="00AF38CA"/>
    <w:rsid w:val="00B03433"/>
    <w:rsid w:val="00B100CB"/>
    <w:rsid w:val="00B1463F"/>
    <w:rsid w:val="00B25010"/>
    <w:rsid w:val="00B2697E"/>
    <w:rsid w:val="00B370F4"/>
    <w:rsid w:val="00B4348E"/>
    <w:rsid w:val="00B45D35"/>
    <w:rsid w:val="00B47C04"/>
    <w:rsid w:val="00B53EC1"/>
    <w:rsid w:val="00B64EB1"/>
    <w:rsid w:val="00B66815"/>
    <w:rsid w:val="00B66FA2"/>
    <w:rsid w:val="00B757C2"/>
    <w:rsid w:val="00B90553"/>
    <w:rsid w:val="00B91BBF"/>
    <w:rsid w:val="00B93818"/>
    <w:rsid w:val="00BA2588"/>
    <w:rsid w:val="00BA3C6F"/>
    <w:rsid w:val="00BA407A"/>
    <w:rsid w:val="00BB359F"/>
    <w:rsid w:val="00BB423E"/>
    <w:rsid w:val="00BC0DF6"/>
    <w:rsid w:val="00BC3841"/>
    <w:rsid w:val="00BC5E5F"/>
    <w:rsid w:val="00BC76FF"/>
    <w:rsid w:val="00BF3615"/>
    <w:rsid w:val="00BF54DA"/>
    <w:rsid w:val="00BF7933"/>
    <w:rsid w:val="00C04BEF"/>
    <w:rsid w:val="00C1455B"/>
    <w:rsid w:val="00C148BB"/>
    <w:rsid w:val="00C149C4"/>
    <w:rsid w:val="00C17C17"/>
    <w:rsid w:val="00C24562"/>
    <w:rsid w:val="00C378B1"/>
    <w:rsid w:val="00C435D4"/>
    <w:rsid w:val="00C50520"/>
    <w:rsid w:val="00C529D3"/>
    <w:rsid w:val="00C617EC"/>
    <w:rsid w:val="00C63085"/>
    <w:rsid w:val="00C64338"/>
    <w:rsid w:val="00C64EC0"/>
    <w:rsid w:val="00C70269"/>
    <w:rsid w:val="00C77359"/>
    <w:rsid w:val="00C77971"/>
    <w:rsid w:val="00C8411D"/>
    <w:rsid w:val="00C84F06"/>
    <w:rsid w:val="00C96C5A"/>
    <w:rsid w:val="00CA1B19"/>
    <w:rsid w:val="00CA68E2"/>
    <w:rsid w:val="00CB0036"/>
    <w:rsid w:val="00CB119F"/>
    <w:rsid w:val="00CC066C"/>
    <w:rsid w:val="00CE05B1"/>
    <w:rsid w:val="00CE5A0A"/>
    <w:rsid w:val="00CE6EAE"/>
    <w:rsid w:val="00CE7964"/>
    <w:rsid w:val="00CE7AC9"/>
    <w:rsid w:val="00CE7B3E"/>
    <w:rsid w:val="00CF3C5E"/>
    <w:rsid w:val="00D055B0"/>
    <w:rsid w:val="00D07F2D"/>
    <w:rsid w:val="00D13688"/>
    <w:rsid w:val="00D14C1F"/>
    <w:rsid w:val="00D15FA8"/>
    <w:rsid w:val="00D23791"/>
    <w:rsid w:val="00D23D4D"/>
    <w:rsid w:val="00D27938"/>
    <w:rsid w:val="00D27B83"/>
    <w:rsid w:val="00D51CC5"/>
    <w:rsid w:val="00D55851"/>
    <w:rsid w:val="00D574FF"/>
    <w:rsid w:val="00D608C7"/>
    <w:rsid w:val="00D6212B"/>
    <w:rsid w:val="00D710A8"/>
    <w:rsid w:val="00D710BD"/>
    <w:rsid w:val="00D8056F"/>
    <w:rsid w:val="00D877BB"/>
    <w:rsid w:val="00D92B61"/>
    <w:rsid w:val="00DB28E7"/>
    <w:rsid w:val="00DB3194"/>
    <w:rsid w:val="00DC08C9"/>
    <w:rsid w:val="00DD6E45"/>
    <w:rsid w:val="00DE477D"/>
    <w:rsid w:val="00DE5D74"/>
    <w:rsid w:val="00DE7CDF"/>
    <w:rsid w:val="00DF0B81"/>
    <w:rsid w:val="00DF2103"/>
    <w:rsid w:val="00DF4EF1"/>
    <w:rsid w:val="00DF6570"/>
    <w:rsid w:val="00E01833"/>
    <w:rsid w:val="00E27103"/>
    <w:rsid w:val="00E37F65"/>
    <w:rsid w:val="00E51564"/>
    <w:rsid w:val="00E62551"/>
    <w:rsid w:val="00E65451"/>
    <w:rsid w:val="00E65BBC"/>
    <w:rsid w:val="00E74166"/>
    <w:rsid w:val="00E75826"/>
    <w:rsid w:val="00E804B9"/>
    <w:rsid w:val="00E8177A"/>
    <w:rsid w:val="00E839D5"/>
    <w:rsid w:val="00E872DD"/>
    <w:rsid w:val="00E90B38"/>
    <w:rsid w:val="00E90C89"/>
    <w:rsid w:val="00E95C79"/>
    <w:rsid w:val="00EA4975"/>
    <w:rsid w:val="00EA6A5C"/>
    <w:rsid w:val="00EA7E75"/>
    <w:rsid w:val="00EB06BE"/>
    <w:rsid w:val="00EB6AAF"/>
    <w:rsid w:val="00EE270C"/>
    <w:rsid w:val="00EE59CA"/>
    <w:rsid w:val="00EE6BD8"/>
    <w:rsid w:val="00EE6DAC"/>
    <w:rsid w:val="00F11449"/>
    <w:rsid w:val="00F211C0"/>
    <w:rsid w:val="00F224AE"/>
    <w:rsid w:val="00F34920"/>
    <w:rsid w:val="00F5220F"/>
    <w:rsid w:val="00F54E60"/>
    <w:rsid w:val="00F5688C"/>
    <w:rsid w:val="00F619E7"/>
    <w:rsid w:val="00F67141"/>
    <w:rsid w:val="00F729CE"/>
    <w:rsid w:val="00F81314"/>
    <w:rsid w:val="00F86B2D"/>
    <w:rsid w:val="00F86C27"/>
    <w:rsid w:val="00F86DF0"/>
    <w:rsid w:val="00F943D8"/>
    <w:rsid w:val="00FB4035"/>
    <w:rsid w:val="00FC57FA"/>
    <w:rsid w:val="00FD5E04"/>
    <w:rsid w:val="00FE3D89"/>
    <w:rsid w:val="00FE7BA7"/>
    <w:rsid w:val="00FF1C3D"/>
    <w:rsid w:val="089A5D8F"/>
    <w:rsid w:val="0CA4351B"/>
    <w:rsid w:val="0CB8153E"/>
    <w:rsid w:val="0D555933"/>
    <w:rsid w:val="11390774"/>
    <w:rsid w:val="12153134"/>
    <w:rsid w:val="12B47FD6"/>
    <w:rsid w:val="13D70A77"/>
    <w:rsid w:val="17FF65E3"/>
    <w:rsid w:val="18EC1F7A"/>
    <w:rsid w:val="1B3E48A6"/>
    <w:rsid w:val="1BA350A1"/>
    <w:rsid w:val="1D681DEC"/>
    <w:rsid w:val="1D7F361D"/>
    <w:rsid w:val="1DDC3FB1"/>
    <w:rsid w:val="21611D4D"/>
    <w:rsid w:val="220A23E4"/>
    <w:rsid w:val="268758BC"/>
    <w:rsid w:val="2B5F517B"/>
    <w:rsid w:val="30656A38"/>
    <w:rsid w:val="3557428F"/>
    <w:rsid w:val="36B4EBB8"/>
    <w:rsid w:val="37FCFBDD"/>
    <w:rsid w:val="38DF0F19"/>
    <w:rsid w:val="3D407E3C"/>
    <w:rsid w:val="3E347DEF"/>
    <w:rsid w:val="3FCB28EB"/>
    <w:rsid w:val="404A467A"/>
    <w:rsid w:val="40956B0D"/>
    <w:rsid w:val="44D15BD3"/>
    <w:rsid w:val="47FDCDF3"/>
    <w:rsid w:val="49FE5ADB"/>
    <w:rsid w:val="4ADF5380"/>
    <w:rsid w:val="4DA753F5"/>
    <w:rsid w:val="4E1E02D7"/>
    <w:rsid w:val="4F204931"/>
    <w:rsid w:val="58302B4D"/>
    <w:rsid w:val="5A3E05F0"/>
    <w:rsid w:val="5CFD22CD"/>
    <w:rsid w:val="5D5A6C44"/>
    <w:rsid w:val="5DB449D7"/>
    <w:rsid w:val="5FF9333B"/>
    <w:rsid w:val="693A5856"/>
    <w:rsid w:val="6A2D5246"/>
    <w:rsid w:val="6BC50FE0"/>
    <w:rsid w:val="6FAC5075"/>
    <w:rsid w:val="6FBC55A3"/>
    <w:rsid w:val="73A82400"/>
    <w:rsid w:val="748F20DD"/>
    <w:rsid w:val="77A77E82"/>
    <w:rsid w:val="77BE736E"/>
    <w:rsid w:val="79DC2A25"/>
    <w:rsid w:val="7BC86EDF"/>
    <w:rsid w:val="7BCD75C6"/>
    <w:rsid w:val="7ECE503D"/>
    <w:rsid w:val="7F063673"/>
    <w:rsid w:val="7FD885B6"/>
    <w:rsid w:val="7FFF4223"/>
    <w:rsid w:val="8FEE0B1E"/>
    <w:rsid w:val="967FA9D3"/>
    <w:rsid w:val="BF3DF5C0"/>
    <w:rsid w:val="BFFF9C3A"/>
    <w:rsid w:val="CFDE2680"/>
    <w:rsid w:val="CFFCFB17"/>
    <w:rsid w:val="DB7BA227"/>
    <w:rsid w:val="DBB70F96"/>
    <w:rsid w:val="DCFCB04A"/>
    <w:rsid w:val="DEFFAB64"/>
    <w:rsid w:val="DF3AD55D"/>
    <w:rsid w:val="DFFF1E19"/>
    <w:rsid w:val="E7EB370F"/>
    <w:rsid w:val="EF558545"/>
    <w:rsid w:val="F0FEB611"/>
    <w:rsid w:val="F3E7BB80"/>
    <w:rsid w:val="F51C3534"/>
    <w:rsid w:val="FA5E3F2D"/>
    <w:rsid w:val="FDE5242F"/>
    <w:rsid w:val="FF7F20EE"/>
    <w:rsid w:val="FF9DC738"/>
    <w:rsid w:val="FFDFB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S Serif" w:hAnsi="MS Serif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MS Serif" w:hAnsi="MS Serif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tLeas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link w:val="14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widowControl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</w:rPr>
  </w:style>
  <w:style w:type="character" w:styleId="11">
    <w:name w:val="page number"/>
    <w:uiPriority w:val="0"/>
  </w:style>
  <w:style w:type="character" w:customStyle="1" w:styleId="12">
    <w:name w:val="标题 1 Char"/>
    <w:link w:val="2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3">
    <w:name w:val="标题 2 Char"/>
    <w:link w:val="3"/>
    <w:uiPriority w:val="9"/>
    <w:rPr>
      <w:rFonts w:ascii="Cambria" w:hAnsi="Cambria"/>
      <w:b/>
      <w:bCs/>
      <w:sz w:val="32"/>
      <w:szCs w:val="32"/>
    </w:rPr>
  </w:style>
  <w:style w:type="character" w:customStyle="1" w:styleId="14">
    <w:name w:val="批注框文本 Char"/>
    <w:link w:val="5"/>
    <w:uiPriority w:val="0"/>
    <w:rPr>
      <w:sz w:val="18"/>
      <w:szCs w:val="18"/>
    </w:rPr>
  </w:style>
  <w:style w:type="character" w:customStyle="1" w:styleId="15">
    <w:name w:val="页脚 Char"/>
    <w:link w:val="6"/>
    <w:uiPriority w:val="99"/>
    <w:rPr>
      <w:sz w:val="18"/>
      <w:szCs w:val="18"/>
    </w:rPr>
  </w:style>
  <w:style w:type="paragraph" w:customStyle="1" w:styleId="16">
    <w:name w:val="Char Char"/>
    <w:basedOn w:val="4"/>
    <w:uiPriority w:val="0"/>
    <w:pPr>
      <w:adjustRightInd/>
      <w:spacing w:line="240" w:lineRule="auto"/>
      <w:jc w:val="both"/>
      <w:textAlignment w:val="auto"/>
    </w:pPr>
  </w:style>
  <w:style w:type="paragraph" w:styleId="17">
    <w:name w:val="List Paragraph"/>
    <w:basedOn w:val="1"/>
    <w:qFormat/>
    <w:uiPriority w:val="34"/>
    <w:pPr>
      <w:adjustRightInd/>
      <w:spacing w:line="240" w:lineRule="auto"/>
      <w:ind w:firstLine="420" w:firstLineChars="200"/>
      <w:jc w:val="both"/>
      <w:textAlignment w:val="auto"/>
    </w:pPr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3180</Words>
  <Characters>3547</Characters>
  <Lines>36</Lines>
  <Paragraphs>10</Paragraphs>
  <TotalTime>15</TotalTime>
  <ScaleCrop>false</ScaleCrop>
  <LinksUpToDate>false</LinksUpToDate>
  <CharactersWithSpaces>3777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2019-02-04T15:44:00Z</dcterms:created>
  <dc:creator>朱春礼</dc:creator>
  <cp:lastModifiedBy>F I S H</cp:lastModifiedBy>
  <cp:lastPrinted>2024-02-01T19:41:00Z</cp:lastPrinted>
  <dcterms:modified xsi:type="dcterms:W3CDTF">2026-02-11T06:53:16Z</dcterms:modified>
  <dc:title>附件1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9650B2B82D844C8A996CA9B69C7BF12E_13</vt:lpwstr>
  </property>
  <property fmtid="{D5CDD505-2E9C-101B-9397-08002B2CF9AE}" pid="4" name="KSOTemplateDocerSaveRecord">
    <vt:lpwstr>eyJoZGlkIjoiYjk1NzljNmFmMTE2MDVhYjY1YzBmMzc1MDI4Y2JkOWMiLCJ1c2VySWQiOiIzNjQxNjQxNjAifQ==</vt:lpwstr>
  </property>
</Properties>
</file>