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AC84E">
      <w:pPr>
        <w:ind w:firstLine="640" w:firstLineChars="200"/>
        <w:jc w:val="both"/>
        <w:rPr>
          <w:rFonts w:hint="eastAsia" w:ascii="仿宋_GB2312" w:hAnsi="华文仿宋" w:eastAsia="仿宋_GB2312"/>
          <w:sz w:val="32"/>
          <w:szCs w:val="32"/>
        </w:rPr>
      </w:pPr>
      <w:bookmarkStart w:id="1" w:name="_GoBack"/>
      <w:r>
        <w:rPr>
          <w:rFonts w:hint="eastAsia" w:ascii="仿宋_GB2312" w:hAnsi="华文仿宋" w:eastAsia="仿宋_GB2312"/>
          <w:sz w:val="32"/>
          <w:szCs w:val="32"/>
        </w:rPr>
        <w:t>附：专利奖获奖情况及介绍。</w:t>
      </w:r>
    </w:p>
    <w:bookmarkEnd w:id="1"/>
    <w:tbl>
      <w:tblPr>
        <w:tblStyle w:val="4"/>
        <w:tblW w:w="10065"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7"/>
        <w:gridCol w:w="2409"/>
        <w:gridCol w:w="2835"/>
        <w:gridCol w:w="1843"/>
      </w:tblGrid>
      <w:tr w14:paraId="7D77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921AF0D">
            <w:pPr>
              <w:spacing w:line="360" w:lineRule="exact"/>
              <w:rPr>
                <w:rFonts w:hint="eastAsia" w:ascii="华文仿宋" w:hAnsi="华文仿宋" w:eastAsia="华文仿宋"/>
                <w:b/>
                <w:bCs/>
                <w:sz w:val="28"/>
                <w:szCs w:val="32"/>
              </w:rPr>
            </w:pPr>
            <w:r>
              <w:rPr>
                <w:rFonts w:hint="eastAsia" w:ascii="华文仿宋" w:hAnsi="华文仿宋" w:eastAsia="华文仿宋"/>
                <w:b/>
                <w:bCs/>
                <w:sz w:val="28"/>
                <w:szCs w:val="32"/>
              </w:rPr>
              <w:t>序号</w:t>
            </w:r>
          </w:p>
        </w:tc>
        <w:tc>
          <w:tcPr>
            <w:tcW w:w="2127" w:type="dxa"/>
            <w:vAlign w:val="center"/>
          </w:tcPr>
          <w:p w14:paraId="2A34E0B5">
            <w:pPr>
              <w:spacing w:line="360" w:lineRule="exact"/>
              <w:rPr>
                <w:rFonts w:hint="eastAsia" w:ascii="华文仿宋" w:hAnsi="华文仿宋" w:eastAsia="华文仿宋"/>
                <w:b/>
                <w:bCs/>
                <w:sz w:val="28"/>
                <w:szCs w:val="32"/>
              </w:rPr>
            </w:pPr>
            <w:r>
              <w:rPr>
                <w:rFonts w:hint="eastAsia" w:ascii="华文仿宋" w:hAnsi="华文仿宋" w:eastAsia="华文仿宋"/>
                <w:b/>
                <w:bCs/>
                <w:sz w:val="28"/>
                <w:szCs w:val="32"/>
              </w:rPr>
              <w:t>专利号</w:t>
            </w:r>
          </w:p>
        </w:tc>
        <w:tc>
          <w:tcPr>
            <w:tcW w:w="2409" w:type="dxa"/>
            <w:vAlign w:val="center"/>
          </w:tcPr>
          <w:p w14:paraId="50BBA8E1">
            <w:pPr>
              <w:spacing w:line="360" w:lineRule="exact"/>
              <w:rPr>
                <w:rFonts w:hint="eastAsia" w:ascii="华文仿宋" w:hAnsi="华文仿宋" w:eastAsia="华文仿宋"/>
                <w:b/>
                <w:bCs/>
                <w:sz w:val="28"/>
                <w:szCs w:val="32"/>
              </w:rPr>
            </w:pPr>
            <w:r>
              <w:rPr>
                <w:rFonts w:hint="eastAsia" w:ascii="华文仿宋" w:hAnsi="华文仿宋" w:eastAsia="华文仿宋"/>
                <w:b/>
                <w:bCs/>
                <w:sz w:val="28"/>
                <w:szCs w:val="32"/>
              </w:rPr>
              <w:t>专利名称</w:t>
            </w:r>
          </w:p>
        </w:tc>
        <w:tc>
          <w:tcPr>
            <w:tcW w:w="2835" w:type="dxa"/>
            <w:vAlign w:val="center"/>
          </w:tcPr>
          <w:p w14:paraId="4A4A9ED2">
            <w:pPr>
              <w:spacing w:line="360" w:lineRule="exact"/>
              <w:rPr>
                <w:rFonts w:hint="eastAsia" w:ascii="华文仿宋" w:hAnsi="华文仿宋" w:eastAsia="华文仿宋"/>
                <w:b/>
                <w:bCs/>
                <w:sz w:val="28"/>
                <w:szCs w:val="32"/>
              </w:rPr>
            </w:pPr>
            <w:r>
              <w:rPr>
                <w:rFonts w:hint="eastAsia" w:ascii="华文仿宋" w:hAnsi="华文仿宋" w:eastAsia="华文仿宋"/>
                <w:b/>
                <w:bCs/>
                <w:sz w:val="28"/>
                <w:szCs w:val="32"/>
              </w:rPr>
              <w:t>专利权人</w:t>
            </w:r>
          </w:p>
        </w:tc>
        <w:tc>
          <w:tcPr>
            <w:tcW w:w="1843" w:type="dxa"/>
            <w:vAlign w:val="center"/>
          </w:tcPr>
          <w:p w14:paraId="5E765A6C">
            <w:pPr>
              <w:spacing w:line="360" w:lineRule="exact"/>
              <w:rPr>
                <w:rFonts w:hint="eastAsia" w:ascii="华文仿宋" w:hAnsi="华文仿宋" w:eastAsia="华文仿宋"/>
                <w:b/>
                <w:bCs/>
                <w:sz w:val="28"/>
                <w:szCs w:val="32"/>
              </w:rPr>
            </w:pPr>
            <w:r>
              <w:rPr>
                <w:rFonts w:hint="eastAsia" w:ascii="华文仿宋" w:hAnsi="华文仿宋" w:eastAsia="华文仿宋"/>
                <w:b/>
                <w:bCs/>
                <w:sz w:val="28"/>
                <w:szCs w:val="32"/>
              </w:rPr>
              <w:t>获奖类型</w:t>
            </w:r>
          </w:p>
        </w:tc>
      </w:tr>
      <w:tr w14:paraId="4CF9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7B8FB312">
            <w:pPr>
              <w:spacing w:line="360" w:lineRule="exact"/>
              <w:jc w:val="both"/>
              <w:rPr>
                <w:rFonts w:hint="eastAsia" w:ascii="华文仿宋" w:hAnsi="华文仿宋" w:eastAsia="华文仿宋"/>
              </w:rPr>
            </w:pPr>
            <w:r>
              <w:rPr>
                <w:rFonts w:hint="eastAsia" w:ascii="华文仿宋" w:hAnsi="华文仿宋" w:eastAsia="华文仿宋"/>
              </w:rPr>
              <w:t>1</w:t>
            </w:r>
          </w:p>
        </w:tc>
        <w:tc>
          <w:tcPr>
            <w:tcW w:w="2127" w:type="dxa"/>
            <w:vAlign w:val="center"/>
          </w:tcPr>
          <w:p w14:paraId="31E24C27">
            <w:pPr>
              <w:spacing w:line="360" w:lineRule="exact"/>
              <w:jc w:val="both"/>
              <w:rPr>
                <w:rFonts w:hint="eastAsia" w:ascii="华文仿宋" w:hAnsi="华文仿宋" w:eastAsia="华文仿宋"/>
              </w:rPr>
            </w:pPr>
            <w:r>
              <w:rPr>
                <w:rFonts w:hint="eastAsia" w:ascii="华文仿宋" w:hAnsi="华文仿宋" w:eastAsia="华文仿宋"/>
              </w:rPr>
              <w:t>ZL201780004001.5</w:t>
            </w:r>
          </w:p>
        </w:tc>
        <w:tc>
          <w:tcPr>
            <w:tcW w:w="2409" w:type="dxa"/>
            <w:vAlign w:val="center"/>
          </w:tcPr>
          <w:p w14:paraId="25A206B7">
            <w:pPr>
              <w:spacing w:line="360" w:lineRule="exact"/>
              <w:jc w:val="both"/>
              <w:rPr>
                <w:rFonts w:hint="eastAsia" w:ascii="华文仿宋" w:hAnsi="华文仿宋" w:eastAsia="华文仿宋"/>
              </w:rPr>
            </w:pPr>
            <w:r>
              <w:rPr>
                <w:rFonts w:hint="eastAsia" w:ascii="华文仿宋" w:hAnsi="华文仿宋" w:eastAsia="华文仿宋"/>
              </w:rPr>
              <w:t>药物洗脱支架和使用其用于功能性内皮细胞层恢复的方法</w:t>
            </w:r>
          </w:p>
        </w:tc>
        <w:tc>
          <w:tcPr>
            <w:tcW w:w="2835" w:type="dxa"/>
            <w:vAlign w:val="center"/>
          </w:tcPr>
          <w:p w14:paraId="53E868B4">
            <w:pPr>
              <w:spacing w:line="360" w:lineRule="exact"/>
              <w:jc w:val="both"/>
              <w:rPr>
                <w:rFonts w:hint="eastAsia" w:ascii="华文仿宋" w:hAnsi="华文仿宋" w:eastAsia="华文仿宋"/>
              </w:rPr>
            </w:pPr>
            <w:r>
              <w:rPr>
                <w:rFonts w:hint="eastAsia" w:ascii="华文仿宋" w:hAnsi="华文仿宋" w:eastAsia="华文仿宋"/>
              </w:rPr>
              <w:t>赛诺医疗科学技术股份有限公司</w:t>
            </w:r>
          </w:p>
        </w:tc>
        <w:tc>
          <w:tcPr>
            <w:tcW w:w="1843" w:type="dxa"/>
            <w:vAlign w:val="center"/>
          </w:tcPr>
          <w:p w14:paraId="73C44E33">
            <w:pPr>
              <w:spacing w:line="360" w:lineRule="exact"/>
              <w:jc w:val="both"/>
              <w:rPr>
                <w:rFonts w:hint="eastAsia" w:ascii="华文仿宋" w:hAnsi="华文仿宋" w:eastAsia="华文仿宋"/>
              </w:rPr>
            </w:pPr>
            <w:r>
              <w:rPr>
                <w:rFonts w:hint="eastAsia" w:ascii="华文仿宋" w:hAnsi="华文仿宋" w:eastAsia="华文仿宋"/>
              </w:rPr>
              <w:t>专利银奖</w:t>
            </w:r>
          </w:p>
        </w:tc>
      </w:tr>
      <w:tr w14:paraId="03F7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8A029AB">
            <w:pPr>
              <w:spacing w:line="360" w:lineRule="exact"/>
              <w:jc w:val="both"/>
              <w:rPr>
                <w:rFonts w:hint="eastAsia" w:ascii="华文仿宋" w:hAnsi="华文仿宋" w:eastAsia="华文仿宋"/>
              </w:rPr>
            </w:pPr>
            <w:r>
              <w:rPr>
                <w:rFonts w:hint="eastAsia" w:ascii="华文仿宋" w:hAnsi="华文仿宋" w:eastAsia="华文仿宋"/>
              </w:rPr>
              <w:t>2</w:t>
            </w:r>
          </w:p>
        </w:tc>
        <w:tc>
          <w:tcPr>
            <w:tcW w:w="2127" w:type="dxa"/>
            <w:vAlign w:val="center"/>
          </w:tcPr>
          <w:p w14:paraId="28C56C20">
            <w:pPr>
              <w:spacing w:line="360" w:lineRule="exact"/>
              <w:jc w:val="both"/>
              <w:rPr>
                <w:rFonts w:hint="eastAsia" w:ascii="华文仿宋" w:hAnsi="华文仿宋" w:eastAsia="华文仿宋"/>
              </w:rPr>
            </w:pPr>
            <w:r>
              <w:rPr>
                <w:rFonts w:ascii="华文仿宋" w:hAnsi="华文仿宋" w:eastAsia="华文仿宋"/>
              </w:rPr>
              <w:t>ZL201510354710.9</w:t>
            </w:r>
          </w:p>
        </w:tc>
        <w:tc>
          <w:tcPr>
            <w:tcW w:w="2409" w:type="dxa"/>
            <w:vAlign w:val="center"/>
          </w:tcPr>
          <w:p w14:paraId="7781205A">
            <w:pPr>
              <w:spacing w:line="360" w:lineRule="exact"/>
              <w:jc w:val="both"/>
              <w:rPr>
                <w:rFonts w:hint="eastAsia" w:ascii="华文仿宋" w:hAnsi="华文仿宋" w:eastAsia="华文仿宋"/>
              </w:rPr>
            </w:pPr>
            <w:r>
              <w:rPr>
                <w:rFonts w:hint="eastAsia" w:ascii="华文仿宋" w:hAnsi="华文仿宋" w:eastAsia="华文仿宋"/>
              </w:rPr>
              <w:t>多价脑膜炎球菌制剂盒、疫苗制剂及其制备方法</w:t>
            </w:r>
          </w:p>
        </w:tc>
        <w:tc>
          <w:tcPr>
            <w:tcW w:w="2835" w:type="dxa"/>
            <w:vAlign w:val="center"/>
          </w:tcPr>
          <w:p w14:paraId="2FC31E8C">
            <w:pPr>
              <w:spacing w:line="360" w:lineRule="exact"/>
              <w:jc w:val="both"/>
              <w:rPr>
                <w:rFonts w:hint="eastAsia" w:ascii="华文仿宋" w:hAnsi="华文仿宋" w:eastAsia="华文仿宋"/>
              </w:rPr>
            </w:pPr>
            <w:r>
              <w:rPr>
                <w:rFonts w:hint="eastAsia" w:ascii="华文仿宋" w:hAnsi="华文仿宋" w:eastAsia="华文仿宋"/>
              </w:rPr>
              <w:t>康希诺生物股份公司</w:t>
            </w:r>
          </w:p>
        </w:tc>
        <w:tc>
          <w:tcPr>
            <w:tcW w:w="1843" w:type="dxa"/>
            <w:vAlign w:val="center"/>
          </w:tcPr>
          <w:p w14:paraId="6A0604EC">
            <w:pPr>
              <w:spacing w:line="360" w:lineRule="exact"/>
              <w:jc w:val="both"/>
              <w:rPr>
                <w:rFonts w:hint="eastAsia" w:ascii="华文仿宋" w:hAnsi="华文仿宋" w:eastAsia="华文仿宋"/>
              </w:rPr>
            </w:pPr>
            <w:r>
              <w:rPr>
                <w:rFonts w:hint="eastAsia" w:ascii="华文仿宋" w:hAnsi="华文仿宋" w:eastAsia="华文仿宋"/>
              </w:rPr>
              <w:t>专利优秀奖</w:t>
            </w:r>
          </w:p>
        </w:tc>
      </w:tr>
      <w:tr w14:paraId="61236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2EC13482">
            <w:pPr>
              <w:spacing w:line="360" w:lineRule="exact"/>
              <w:jc w:val="both"/>
              <w:rPr>
                <w:rFonts w:hint="eastAsia" w:ascii="华文仿宋" w:hAnsi="华文仿宋" w:eastAsia="华文仿宋"/>
              </w:rPr>
            </w:pPr>
            <w:r>
              <w:rPr>
                <w:rFonts w:hint="eastAsia" w:ascii="华文仿宋" w:hAnsi="华文仿宋" w:eastAsia="华文仿宋"/>
              </w:rPr>
              <w:t>3</w:t>
            </w:r>
          </w:p>
        </w:tc>
        <w:tc>
          <w:tcPr>
            <w:tcW w:w="2127" w:type="dxa"/>
            <w:vAlign w:val="center"/>
          </w:tcPr>
          <w:p w14:paraId="61AA5E9D">
            <w:pPr>
              <w:spacing w:line="360" w:lineRule="exact"/>
              <w:jc w:val="both"/>
              <w:rPr>
                <w:rFonts w:hint="eastAsia" w:ascii="华文仿宋" w:hAnsi="华文仿宋" w:eastAsia="华文仿宋"/>
              </w:rPr>
            </w:pPr>
            <w:r>
              <w:rPr>
                <w:rFonts w:ascii="华文仿宋" w:hAnsi="华文仿宋" w:eastAsia="华文仿宋"/>
              </w:rPr>
              <w:t>ZL201911043318.7</w:t>
            </w:r>
          </w:p>
        </w:tc>
        <w:tc>
          <w:tcPr>
            <w:tcW w:w="2409" w:type="dxa"/>
            <w:vAlign w:val="center"/>
          </w:tcPr>
          <w:p w14:paraId="541E42CB">
            <w:pPr>
              <w:spacing w:line="360" w:lineRule="exact"/>
              <w:jc w:val="both"/>
              <w:rPr>
                <w:rFonts w:hint="eastAsia" w:ascii="华文仿宋" w:hAnsi="华文仿宋" w:eastAsia="华文仿宋"/>
              </w:rPr>
            </w:pPr>
            <w:r>
              <w:rPr>
                <w:rFonts w:hint="eastAsia" w:ascii="华文仿宋" w:hAnsi="华文仿宋" w:eastAsia="华文仿宋"/>
              </w:rPr>
              <w:t>一株高产L-</w:t>
            </w:r>
            <w:bookmarkStart w:id="0" w:name="OLE_LINK1"/>
            <w:r>
              <w:rPr>
                <w:rFonts w:ascii="华文仿宋" w:hAnsi="华文仿宋" w:eastAsia="华文仿宋"/>
              </w:rPr>
              <w:t>缬</w:t>
            </w:r>
            <w:r>
              <w:rPr>
                <w:rFonts w:hint="eastAsia" w:ascii="华文仿宋" w:hAnsi="华文仿宋" w:eastAsia="华文仿宋"/>
              </w:rPr>
              <w:t>氨酸</w:t>
            </w:r>
            <w:bookmarkEnd w:id="0"/>
            <w:r>
              <w:rPr>
                <w:rFonts w:hint="eastAsia" w:ascii="华文仿宋" w:hAnsi="华文仿宋" w:eastAsia="华文仿宋"/>
              </w:rPr>
              <w:t>的基因工程菌及发酵生产L-</w:t>
            </w:r>
            <w:r>
              <w:rPr>
                <w:rFonts w:ascii="华文仿宋" w:hAnsi="华文仿宋" w:eastAsia="华文仿宋"/>
              </w:rPr>
              <w:t>缬</w:t>
            </w:r>
            <w:r>
              <w:rPr>
                <w:rFonts w:hint="eastAsia" w:ascii="华文仿宋" w:hAnsi="华文仿宋" w:eastAsia="华文仿宋"/>
              </w:rPr>
              <w:t>氨酸方法</w:t>
            </w:r>
          </w:p>
        </w:tc>
        <w:tc>
          <w:tcPr>
            <w:tcW w:w="2835" w:type="dxa"/>
            <w:vAlign w:val="center"/>
          </w:tcPr>
          <w:p w14:paraId="27F5353F">
            <w:pPr>
              <w:spacing w:line="360" w:lineRule="exact"/>
              <w:jc w:val="both"/>
              <w:rPr>
                <w:rFonts w:hint="eastAsia" w:ascii="华文仿宋" w:hAnsi="华文仿宋" w:eastAsia="华文仿宋"/>
              </w:rPr>
            </w:pPr>
            <w:r>
              <w:rPr>
                <w:rFonts w:hint="eastAsia" w:ascii="华文仿宋" w:hAnsi="华文仿宋" w:eastAsia="华文仿宋"/>
              </w:rPr>
              <w:t>天津科技大学</w:t>
            </w:r>
          </w:p>
        </w:tc>
        <w:tc>
          <w:tcPr>
            <w:tcW w:w="1843" w:type="dxa"/>
            <w:vAlign w:val="center"/>
          </w:tcPr>
          <w:p w14:paraId="324A22BD">
            <w:pPr>
              <w:spacing w:line="360" w:lineRule="exact"/>
              <w:jc w:val="both"/>
              <w:rPr>
                <w:rFonts w:hint="eastAsia" w:ascii="华文仿宋" w:hAnsi="华文仿宋" w:eastAsia="华文仿宋"/>
              </w:rPr>
            </w:pPr>
            <w:r>
              <w:rPr>
                <w:rFonts w:hint="eastAsia" w:ascii="华文仿宋" w:hAnsi="华文仿宋" w:eastAsia="华文仿宋"/>
              </w:rPr>
              <w:t>专利优秀奖</w:t>
            </w:r>
          </w:p>
        </w:tc>
      </w:tr>
      <w:tr w14:paraId="2000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3F89B95">
            <w:pPr>
              <w:spacing w:line="360" w:lineRule="exact"/>
              <w:jc w:val="both"/>
              <w:rPr>
                <w:rFonts w:hint="eastAsia" w:ascii="华文仿宋" w:hAnsi="华文仿宋" w:eastAsia="华文仿宋"/>
              </w:rPr>
            </w:pPr>
            <w:r>
              <w:rPr>
                <w:rFonts w:hint="eastAsia" w:ascii="华文仿宋" w:hAnsi="华文仿宋" w:eastAsia="华文仿宋"/>
              </w:rPr>
              <w:t>4</w:t>
            </w:r>
          </w:p>
        </w:tc>
        <w:tc>
          <w:tcPr>
            <w:tcW w:w="2127" w:type="dxa"/>
            <w:vAlign w:val="center"/>
          </w:tcPr>
          <w:p w14:paraId="7A2A5EDD">
            <w:pPr>
              <w:spacing w:line="360" w:lineRule="exact"/>
              <w:jc w:val="both"/>
              <w:rPr>
                <w:rFonts w:hint="eastAsia" w:ascii="华文仿宋" w:hAnsi="华文仿宋" w:eastAsia="华文仿宋"/>
              </w:rPr>
            </w:pPr>
            <w:r>
              <w:rPr>
                <w:rFonts w:ascii="华文仿宋" w:hAnsi="华文仿宋" w:eastAsia="华文仿宋"/>
              </w:rPr>
              <w:t>ZL202410994234.6</w:t>
            </w:r>
          </w:p>
        </w:tc>
        <w:tc>
          <w:tcPr>
            <w:tcW w:w="2409" w:type="dxa"/>
            <w:vAlign w:val="center"/>
          </w:tcPr>
          <w:p w14:paraId="272E793D">
            <w:pPr>
              <w:spacing w:line="360" w:lineRule="exact"/>
              <w:jc w:val="both"/>
              <w:rPr>
                <w:rFonts w:hint="eastAsia" w:ascii="华文仿宋" w:hAnsi="华文仿宋" w:eastAsia="华文仿宋"/>
              </w:rPr>
            </w:pPr>
            <w:r>
              <w:rPr>
                <w:rFonts w:ascii="华文仿宋" w:hAnsi="华文仿宋" w:eastAsia="华文仿宋"/>
              </w:rPr>
              <w:t>海洋石油水下生产系统智能运维与生产优化方法及系统</w:t>
            </w:r>
          </w:p>
        </w:tc>
        <w:tc>
          <w:tcPr>
            <w:tcW w:w="2835" w:type="dxa"/>
            <w:vAlign w:val="center"/>
          </w:tcPr>
          <w:p w14:paraId="3CEDE9C9">
            <w:pPr>
              <w:spacing w:line="360" w:lineRule="exact"/>
              <w:jc w:val="both"/>
              <w:rPr>
                <w:rFonts w:hint="eastAsia" w:ascii="华文仿宋" w:hAnsi="华文仿宋" w:eastAsia="华文仿宋"/>
              </w:rPr>
            </w:pPr>
            <w:r>
              <w:rPr>
                <w:rFonts w:ascii="华文仿宋" w:hAnsi="华文仿宋" w:eastAsia="华文仿宋"/>
              </w:rPr>
              <w:t>中国石油大学(华东);中国海洋大学;中国石油大学(北京);烟台杰瑞石油装备技术有限公司;</w:t>
            </w:r>
            <w:r>
              <w:rPr>
                <w:rFonts w:ascii="华文仿宋" w:hAnsi="华文仿宋" w:eastAsia="华文仿宋"/>
                <w:color w:val="EE0000"/>
              </w:rPr>
              <w:t>中海油安全技术服务有限公司</w:t>
            </w:r>
            <w:r>
              <w:rPr>
                <w:rFonts w:ascii="华文仿宋" w:hAnsi="华文仿宋" w:eastAsia="华文仿宋"/>
              </w:rPr>
              <w:t>;中海油深圳海洋工程技术服务有限公司;威飞海洋装备制造有限公司</w:t>
            </w:r>
          </w:p>
        </w:tc>
        <w:tc>
          <w:tcPr>
            <w:tcW w:w="1843" w:type="dxa"/>
            <w:vAlign w:val="center"/>
          </w:tcPr>
          <w:p w14:paraId="2A3A7753">
            <w:pPr>
              <w:spacing w:line="360" w:lineRule="exact"/>
              <w:jc w:val="both"/>
              <w:rPr>
                <w:rFonts w:hint="eastAsia" w:ascii="华文仿宋" w:hAnsi="华文仿宋" w:eastAsia="华文仿宋"/>
              </w:rPr>
            </w:pPr>
            <w:r>
              <w:rPr>
                <w:rFonts w:hint="eastAsia" w:ascii="华文仿宋" w:hAnsi="华文仿宋" w:eastAsia="华文仿宋"/>
              </w:rPr>
              <w:t>专利优秀奖</w:t>
            </w:r>
          </w:p>
        </w:tc>
      </w:tr>
      <w:tr w14:paraId="4B16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6207F10F">
            <w:pPr>
              <w:spacing w:line="360" w:lineRule="exact"/>
              <w:jc w:val="both"/>
              <w:rPr>
                <w:rFonts w:hint="eastAsia" w:ascii="华文仿宋" w:hAnsi="华文仿宋" w:eastAsia="华文仿宋"/>
              </w:rPr>
            </w:pPr>
            <w:r>
              <w:rPr>
                <w:rFonts w:hint="eastAsia" w:ascii="华文仿宋" w:hAnsi="华文仿宋" w:eastAsia="华文仿宋"/>
              </w:rPr>
              <w:t>5</w:t>
            </w:r>
          </w:p>
        </w:tc>
        <w:tc>
          <w:tcPr>
            <w:tcW w:w="2127" w:type="dxa"/>
            <w:vAlign w:val="center"/>
          </w:tcPr>
          <w:p w14:paraId="29C46CBA">
            <w:pPr>
              <w:spacing w:line="360" w:lineRule="exact"/>
              <w:jc w:val="both"/>
              <w:rPr>
                <w:rFonts w:hint="eastAsia" w:ascii="华文仿宋" w:hAnsi="华文仿宋" w:eastAsia="华文仿宋"/>
              </w:rPr>
            </w:pPr>
            <w:r>
              <w:rPr>
                <w:rFonts w:ascii="华文仿宋" w:hAnsi="华文仿宋" w:eastAsia="华文仿宋"/>
              </w:rPr>
              <w:t>ZL202230191529.1</w:t>
            </w:r>
          </w:p>
        </w:tc>
        <w:tc>
          <w:tcPr>
            <w:tcW w:w="2409" w:type="dxa"/>
            <w:vAlign w:val="center"/>
          </w:tcPr>
          <w:p w14:paraId="4C153750">
            <w:pPr>
              <w:spacing w:line="360" w:lineRule="exact"/>
              <w:jc w:val="both"/>
              <w:rPr>
                <w:rFonts w:hint="eastAsia" w:ascii="华文仿宋" w:hAnsi="华文仿宋" w:eastAsia="华文仿宋"/>
              </w:rPr>
            </w:pPr>
            <w:r>
              <w:rPr>
                <w:rFonts w:ascii="华文仿宋" w:hAnsi="华文仿宋" w:eastAsia="华文仿宋"/>
              </w:rPr>
              <w:t>带灯的无人机机库</w:t>
            </w:r>
          </w:p>
        </w:tc>
        <w:tc>
          <w:tcPr>
            <w:tcW w:w="2835" w:type="dxa"/>
            <w:vAlign w:val="center"/>
          </w:tcPr>
          <w:p w14:paraId="64F7C683">
            <w:pPr>
              <w:spacing w:line="360" w:lineRule="exact"/>
              <w:jc w:val="both"/>
              <w:rPr>
                <w:rFonts w:hint="eastAsia" w:ascii="华文仿宋" w:hAnsi="华文仿宋" w:eastAsia="华文仿宋"/>
              </w:rPr>
            </w:pPr>
            <w:r>
              <w:rPr>
                <w:rFonts w:hint="eastAsia" w:ascii="华文仿宋" w:hAnsi="华文仿宋" w:eastAsia="华文仿宋"/>
              </w:rPr>
              <w:t>天津云圣智能科技有限责任公司</w:t>
            </w:r>
          </w:p>
        </w:tc>
        <w:tc>
          <w:tcPr>
            <w:tcW w:w="1843" w:type="dxa"/>
            <w:vAlign w:val="center"/>
          </w:tcPr>
          <w:p w14:paraId="36EA06DD">
            <w:pPr>
              <w:spacing w:line="360" w:lineRule="exact"/>
              <w:jc w:val="both"/>
              <w:rPr>
                <w:rFonts w:hint="eastAsia" w:ascii="华文仿宋" w:hAnsi="华文仿宋" w:eastAsia="华文仿宋"/>
              </w:rPr>
            </w:pPr>
            <w:r>
              <w:rPr>
                <w:rFonts w:hint="eastAsia" w:ascii="华文仿宋" w:hAnsi="华文仿宋" w:eastAsia="华文仿宋"/>
              </w:rPr>
              <w:t>外观设计优秀奖</w:t>
            </w:r>
          </w:p>
        </w:tc>
      </w:tr>
    </w:tbl>
    <w:p w14:paraId="19B93C44">
      <w:pPr>
        <w:ind w:firstLine="640" w:firstLineChars="200"/>
        <w:jc w:val="both"/>
        <w:rPr>
          <w:rFonts w:hint="eastAsia" w:ascii="华文仿宋" w:hAnsi="华文仿宋" w:eastAsia="华文仿宋"/>
          <w:sz w:val="32"/>
          <w:szCs w:val="32"/>
        </w:rPr>
      </w:pPr>
      <w:r>
        <w:rPr>
          <w:rFonts w:hint="eastAsia" w:ascii="华文仿宋" w:hAnsi="华文仿宋" w:eastAsia="华文仿宋"/>
          <w:sz w:val="32"/>
          <w:szCs w:val="32"/>
        </w:rPr>
        <w:t>1.</w:t>
      </w:r>
      <w:r>
        <w:rPr>
          <w:rFonts w:ascii="华文仿宋" w:hAnsi="华文仿宋" w:eastAsia="华文仿宋"/>
          <w:sz w:val="32"/>
          <w:szCs w:val="32"/>
        </w:rPr>
        <w:t>赛诺医疗凭借专利《药物洗脱支架和使用其用于功能性内皮细胞层恢复的方法》斩获中国专利银奖。作为国内心血管介入器械领域龙头企业，赛诺医疗深耕技术自主创新，持续加大科研投入，构建了成熟的技术研发与成果转化体系。本次获奖的核心专利技术已成功产业化，赋能多款高竞争力国产医疗器械迭代升级。其主力产品DES系列冠脉支架、颅内药物洗脱支架系统，先后入选“优秀国产医疗设备产品目录”，曾荣获天津市科学技术进步一等奖等重磅荣誉，充分彰显了企业在心血管介入诊疗器械领域的技术壁垒与品牌引领优势。</w:t>
      </w:r>
    </w:p>
    <w:p w14:paraId="1B09371A">
      <w:pPr>
        <w:ind w:firstLine="640" w:firstLineChars="200"/>
        <w:jc w:val="both"/>
        <w:rPr>
          <w:rFonts w:hint="eastAsia" w:ascii="华文仿宋" w:hAnsi="华文仿宋" w:eastAsia="华文仿宋"/>
          <w:sz w:val="32"/>
          <w:szCs w:val="32"/>
        </w:rPr>
      </w:pPr>
      <w:r>
        <w:rPr>
          <w:rFonts w:hint="eastAsia" w:ascii="华文仿宋" w:hAnsi="华文仿宋" w:eastAsia="华文仿宋"/>
          <w:sz w:val="32"/>
          <w:szCs w:val="32"/>
        </w:rPr>
        <w:t>2.</w:t>
      </w:r>
      <w:r>
        <w:rPr>
          <w:rFonts w:ascii="华文仿宋" w:hAnsi="华文仿宋" w:eastAsia="华文仿宋"/>
          <w:sz w:val="32"/>
          <w:szCs w:val="32"/>
        </w:rPr>
        <w:t>康希诺生物依托《多价脑膜炎球菌制剂盒、疫苗制剂及其制备方法》专利荣获中国专利优秀奖。作为国内生物技术创新标杆企业，康希诺长期深耕重大传染病防控与新型疫苗研发领域。本次获奖专利实现了高端疫苗核心技术的自主突破，完成了从技术依赖到自主可控的跨越式升级，为国产疫苗产业高质量发展、参与国际市场竞争筑牢技术根基。其转化成果曼海欣四价流脑结合疫苗，填补了国内市场空白，让我国相关疫苗研发生产水平迈入国际先进行列。目前该产品已普及全国30个省（市、区），惠及百万儿童，产生了显著的社会效益与公共卫生价值。</w:t>
      </w:r>
    </w:p>
    <w:p w14:paraId="0F26D082">
      <w:pPr>
        <w:ind w:firstLine="640" w:firstLineChars="200"/>
        <w:jc w:val="both"/>
        <w:rPr>
          <w:rFonts w:hint="eastAsia" w:ascii="仿宋_GB2312" w:hAnsi="华文仿宋" w:eastAsia="仿宋_GB2312"/>
          <w:sz w:val="32"/>
          <w:szCs w:val="32"/>
        </w:rPr>
      </w:pPr>
      <w:r>
        <w:rPr>
          <w:rFonts w:hint="eastAsia" w:ascii="仿宋_GB2312" w:hAnsi="华文仿宋" w:eastAsia="仿宋_GB2312"/>
          <w:sz w:val="32"/>
          <w:szCs w:val="32"/>
        </w:rPr>
        <w:t>3.天津科技大学凭借《一株高产L-缬氨酸的基因工程菌及发酵生产L-缬氨酸方法》专利获评中国专利优秀奖。作为全国首批轻工类本科院校，学校拥有“发酵工程”国家重点学科，多个学科跻身ESI全球排名前1%。本次获奖专利创新突破传统发酵技术瓶颈，首创改变L-缬氨酸合成辅因子需求、依托糖酵解途径平衡辅酶的技术路径，通过优化菌株合成通路、提升前体物供给，构建出高效、稳定的工程菌株。同时创新采用好氧-厌氧双阶段发酵工艺，大幅提升产物产量与转化效率，有效降低生产能耗，实现了氨基酸绿色高效智能制造。该技术开辟了菌种改造全新路径，引领生物发酵工艺革新，有力推动了合成生物学技术创新与生物制造产业升级。</w:t>
      </w:r>
    </w:p>
    <w:p w14:paraId="43E650E9">
      <w:pPr>
        <w:ind w:firstLine="640" w:firstLineChars="200"/>
        <w:jc w:val="both"/>
        <w:rPr>
          <w:rFonts w:hint="eastAsia" w:ascii="仿宋_GB2312" w:hAnsi="华文仿宋" w:eastAsia="仿宋_GB2312"/>
          <w:sz w:val="32"/>
          <w:szCs w:val="32"/>
        </w:rPr>
      </w:pPr>
      <w:r>
        <w:rPr>
          <w:rFonts w:hint="eastAsia" w:ascii="仿宋_GB2312" w:hAnsi="华文仿宋" w:eastAsia="仿宋_GB2312"/>
          <w:sz w:val="32"/>
          <w:szCs w:val="32"/>
        </w:rPr>
        <w:t>4.云圣智能，凭借《带灯的无人机机库》外观设计专利荣获中国外观设计优秀奖。企业深耕低空智能装备研发制造，首创“工业无人机+全自动机场”创新理念，率先实现行业规模化量产与智能化生产模式，入选2025年央视新质生产力年度十大案例。本次获奖专利突破传统无人机起降设备设计局限，融合莲花造型美学设计，以花瓣式外壳搭配中心主体支撑结构，兼具美观性与实用性，实现中式美学设计与现代工业装备的完美融合，为低空智能装备外观创新、场景适配升级提供了全新思路。</w:t>
      </w:r>
    </w:p>
    <w:p w14:paraId="3A9EDB59">
      <w:pPr>
        <w:ind w:firstLine="640" w:firstLineChars="200"/>
        <w:jc w:val="both"/>
        <w:rPr>
          <w:rFonts w:hint="eastAsia" w:ascii="仿宋_GB2312" w:hAnsi="华文仿宋" w:eastAsia="仿宋_GB2312"/>
          <w:sz w:val="32"/>
          <w:szCs w:val="32"/>
        </w:rPr>
      </w:pPr>
      <w:r>
        <w:rPr>
          <w:rFonts w:hint="eastAsia" w:ascii="仿宋_GB2312" w:hAnsi="华文仿宋" w:eastAsia="仿宋_GB2312"/>
          <w:sz w:val="32"/>
          <w:szCs w:val="32"/>
        </w:rPr>
        <w:t>此外，</w:t>
      </w:r>
      <w:r>
        <w:rPr>
          <w:rFonts w:ascii="仿宋_GB2312" w:hAnsi="华文仿宋" w:eastAsia="仿宋_GB2312"/>
          <w:sz w:val="32"/>
          <w:szCs w:val="32"/>
        </w:rPr>
        <w:t>中海油安全技术服务有限公司联合多所高校、行业企业共同研发的《海洋石油水下生产系统智能运维与生产优化方法及系统》专利，荣获中国专利优秀奖。</w:t>
      </w:r>
    </w:p>
    <w:p w14:paraId="33D7D98E">
      <w:pPr>
        <w:jc w:val="both"/>
        <w:rPr>
          <w:rFonts w:hint="eastAsia" w:ascii="仿宋_GB2312" w:eastAsia="仿宋_GB2312"/>
        </w:rPr>
      </w:pPr>
    </w:p>
    <w:p w14:paraId="02087053"/>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5419784"/>
      <w:docPartObj>
        <w:docPartGallery w:val="autotext"/>
      </w:docPartObj>
    </w:sdtPr>
    <w:sdtContent>
      <w:p w14:paraId="42D31BCF">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68921DAF">
    <w:pPr>
      <w:pStyle w:val="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F5182E"/>
    <w:rsid w:val="40F5182E"/>
    <w:rsid w:val="57A87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88" w:lineRule="exact"/>
      <w:jc w:val="center"/>
    </w:pPr>
    <w:rPr>
      <w:rFonts w:asciiTheme="minorHAnsi" w:hAnsiTheme="minorHAnsi" w:eastAsiaTheme="minorEastAsia" w:cstheme="minorBidi"/>
      <w:kern w:val="2"/>
      <w:sz w:val="22"/>
      <w:szCs w:val="24"/>
      <w:lang w:val="en-US" w:eastAsia="zh-CN" w:bidi="ar-SA"/>
      <w14:ligatures w14:val="standardContextual"/>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table" w:styleId="4">
    <w:name w:val="Table Grid"/>
    <w:basedOn w:val="3"/>
    <w:qFormat/>
    <w:uiPriority w:val="3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2026-07-02T06:46:00Z</dcterms:created>
  <dc:creator>冷酒独酌</dc:creator>
  <cp:lastModifiedBy>冷酒独酌</cp:lastModifiedBy>
  <dcterms:modified xsi:type="dcterms:W3CDTF">2026-07-02T06:48:14Z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ADDDCC3E55A742B7A8F0CD0F9FB5FFE3_13</vt:lpwstr>
  </property>
  <property fmtid="{D5CDD505-2E9C-101B-9397-08002B2CF9AE}" pid="4" name="KSOTemplateDocerSaveRecord">
    <vt:lpwstr>eyJoZGlkIjoiMGZkMDVkZjg3YzJjMzRkYjA0OTk1YTRjZjQwYjk0NzMiLCJ1c2VySWQiOiIyMzg0ODgxMDMifQ==</vt:lpwstr>
  </property>
</Properties>
</file>