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48B2FC">
      <w:pPr>
        <w:snapToGrid w:val="0"/>
        <w:spacing w:line="600" w:lineRule="exact"/>
        <w:jc w:val="both"/>
        <w:rPr>
          <w:rFonts w:ascii="宋体" w:hAnsi="宋体"/>
          <w:w w:val="95"/>
          <w:sz w:val="32"/>
          <w:szCs w:val="32"/>
        </w:rPr>
      </w:pPr>
    </w:p>
    <w:p w14:paraId="21B26D6A">
      <w:pPr>
        <w:snapToGrid w:val="0"/>
        <w:spacing w:line="600" w:lineRule="exact"/>
        <w:jc w:val="both"/>
        <w:rPr>
          <w:rFonts w:ascii="宋体" w:hAnsi="宋体"/>
          <w:w w:val="95"/>
          <w:sz w:val="32"/>
          <w:szCs w:val="32"/>
        </w:rPr>
      </w:pPr>
    </w:p>
    <w:p w14:paraId="03A958A1">
      <w:pPr>
        <w:snapToGrid w:val="0"/>
        <w:spacing w:line="600" w:lineRule="exact"/>
        <w:jc w:val="both"/>
        <w:rPr>
          <w:rFonts w:ascii="宋体" w:hAnsi="宋体"/>
          <w:w w:val="95"/>
          <w:sz w:val="32"/>
          <w:szCs w:val="32"/>
        </w:rPr>
      </w:pPr>
    </w:p>
    <w:p w14:paraId="390AE1F7">
      <w:pPr>
        <w:snapToGrid w:val="0"/>
        <w:spacing w:line="600" w:lineRule="exact"/>
        <w:jc w:val="both"/>
        <w:rPr>
          <w:rFonts w:ascii="宋体" w:hAnsi="宋体"/>
          <w:w w:val="95"/>
          <w:sz w:val="32"/>
          <w:szCs w:val="32"/>
        </w:rPr>
      </w:pPr>
    </w:p>
    <w:p w14:paraId="56DB30BE">
      <w:pPr>
        <w:snapToGrid w:val="0"/>
        <w:spacing w:line="600" w:lineRule="exact"/>
        <w:jc w:val="both"/>
        <w:rPr>
          <w:rFonts w:ascii="宋体" w:hAnsi="宋体"/>
          <w:w w:val="95"/>
          <w:sz w:val="32"/>
          <w:szCs w:val="32"/>
        </w:rPr>
      </w:pPr>
    </w:p>
    <w:p w14:paraId="524AF688">
      <w:pPr>
        <w:snapToGrid w:val="0"/>
        <w:spacing w:line="600" w:lineRule="exact"/>
        <w:jc w:val="both"/>
        <w:rPr>
          <w:rFonts w:ascii="宋体" w:hAnsi="宋体"/>
          <w:w w:val="95"/>
          <w:sz w:val="32"/>
          <w:szCs w:val="32"/>
        </w:rPr>
      </w:pPr>
    </w:p>
    <w:p w14:paraId="1D8D20B9">
      <w:pPr>
        <w:snapToGrid w:val="0"/>
        <w:spacing w:line="600" w:lineRule="exact"/>
        <w:jc w:val="both"/>
        <w:rPr>
          <w:rFonts w:ascii="宋体" w:hAnsi="宋体"/>
          <w:w w:val="95"/>
          <w:sz w:val="32"/>
          <w:szCs w:val="32"/>
        </w:rPr>
      </w:pPr>
    </w:p>
    <w:p w14:paraId="50A9CC4E">
      <w:pPr>
        <w:snapToGrid w:val="0"/>
        <w:spacing w:line="600" w:lineRule="exact"/>
        <w:jc w:val="both"/>
        <w:rPr>
          <w:rFonts w:ascii="宋体" w:hAnsi="宋体"/>
          <w:w w:val="95"/>
          <w:sz w:val="32"/>
          <w:szCs w:val="32"/>
        </w:rPr>
      </w:pPr>
    </w:p>
    <w:p w14:paraId="7A0B1918">
      <w:pPr>
        <w:spacing w:line="240" w:lineRule="auto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中国（天津）自由贸易试验区</w:t>
      </w:r>
    </w:p>
    <w:p w14:paraId="0E1A24BA"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滨海新区中心商务片区工作局</w:t>
      </w:r>
    </w:p>
    <w:p w14:paraId="2D3E4CF5"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2026年部门预算</w:t>
      </w:r>
    </w:p>
    <w:p w14:paraId="2EBC018D">
      <w:pPr>
        <w:snapToGrid w:val="0"/>
        <w:spacing w:line="600" w:lineRule="exact"/>
        <w:jc w:val="both"/>
        <w:rPr>
          <w:rFonts w:ascii="方正小标宋简体" w:hAnsi="方正小标宋简体" w:eastAsia="方正小标宋简体" w:cs="方正小标宋简体"/>
          <w:sz w:val="48"/>
          <w:szCs w:val="48"/>
        </w:rPr>
      </w:pPr>
    </w:p>
    <w:p w14:paraId="01754B7E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26BFF1E0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0FE5C511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28B6C0B6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727C6C75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7285E963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3BA9C195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5960E708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040B4E7A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17B7325B">
      <w:pPr>
        <w:snapToGrid w:val="0"/>
        <w:spacing w:line="600" w:lineRule="exact"/>
        <w:jc w:val="both"/>
        <w:rPr>
          <w:rFonts w:ascii="宋体" w:hAnsi="宋体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</w:t>
      </w:r>
    </w:p>
    <w:p w14:paraId="750134C3">
      <w:pPr>
        <w:snapToGrid w:val="0"/>
        <w:spacing w:line="600" w:lineRule="exac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目   录</w:t>
      </w:r>
    </w:p>
    <w:p w14:paraId="0C0ABD71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7B9CD9CD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第一部分  概 况</w:t>
      </w:r>
    </w:p>
    <w:p w14:paraId="7E7CEA42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一、主要职责</w:t>
      </w:r>
    </w:p>
    <w:p w14:paraId="25050789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二、机构设置情况</w:t>
      </w:r>
    </w:p>
    <w:p w14:paraId="49F8C66E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第二部分  2026年部门预算情况说明</w:t>
      </w:r>
    </w:p>
    <w:p w14:paraId="44092D0F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一、关于2026年收支预算总表的说明</w:t>
      </w:r>
    </w:p>
    <w:p w14:paraId="30837CF5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二、关于2026年收入预算总表的说明</w:t>
      </w:r>
    </w:p>
    <w:p w14:paraId="39F47E50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三、关于2026年支出预算总表的说明</w:t>
      </w:r>
    </w:p>
    <w:p w14:paraId="647BE81C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四、关于2026年财政拨款收支预算总表的说明</w:t>
      </w:r>
    </w:p>
    <w:p w14:paraId="3C7AB234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五、关于2026年财政拨款一般公共预算支出预算表的说明</w:t>
      </w:r>
    </w:p>
    <w:p w14:paraId="365B8399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六、关于2026年财政拨款一般公共预算基本支出预算表的说明</w:t>
      </w:r>
    </w:p>
    <w:p w14:paraId="7630373D">
      <w:pPr>
        <w:adjustRightInd/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七、关于2026年财政拨款一般公共预算“三公”经费支出预算表的说明</w:t>
      </w:r>
    </w:p>
    <w:p w14:paraId="7E273411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八、关于2026年财政拨款政府性基金预算支出预算表的说明</w:t>
      </w:r>
    </w:p>
    <w:p w14:paraId="221E209E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九、关于2026年国有资本经营预算支出预算表的说明</w:t>
      </w:r>
    </w:p>
    <w:p w14:paraId="066DC81C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十、其他重要事项的情况说明</w:t>
      </w:r>
    </w:p>
    <w:p w14:paraId="44AFDAAC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第三部分  名词解释</w:t>
      </w:r>
    </w:p>
    <w:p w14:paraId="3884133F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第四部分  2026年部门预算表</w:t>
      </w:r>
    </w:p>
    <w:p w14:paraId="4AD83AE8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 2026年收支预算总表</w:t>
      </w:r>
    </w:p>
    <w:p w14:paraId="4CF22A15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 2026年收入预算总表</w:t>
      </w:r>
    </w:p>
    <w:p w14:paraId="59BA2384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 2026年支出预算总表</w:t>
      </w:r>
    </w:p>
    <w:p w14:paraId="0E475533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 2026年财政拨款收支预算总表</w:t>
      </w:r>
    </w:p>
    <w:p w14:paraId="33716B98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 2026年财政拨款一般公共预算支出预算表</w:t>
      </w:r>
    </w:p>
    <w:p w14:paraId="3D6D86AB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 2026年财政拨款一般公共预算基本支出预算表</w:t>
      </w:r>
    </w:p>
    <w:p w14:paraId="75525230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 2026年财政拨款一般公共预算“三公”经费支出预算表</w:t>
      </w:r>
    </w:p>
    <w:p w14:paraId="175CFEF5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 2026年财政拨款政府性基金预算支出预算表</w:t>
      </w:r>
    </w:p>
    <w:p w14:paraId="490E74F3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九、 2026年国有资本经营预算支出预算表 </w:t>
      </w:r>
    </w:p>
    <w:p w14:paraId="6AF2D678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十、 2026年项目支出预算表</w:t>
      </w:r>
    </w:p>
    <w:p w14:paraId="2A317786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 2026年财政拨款政府采购预算表</w:t>
      </w:r>
    </w:p>
    <w:p w14:paraId="5A3F504A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十二、2026年项目支出绩效目标表</w:t>
      </w:r>
    </w:p>
    <w:p w14:paraId="750B0574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  <w:sectPr>
          <w:headerReference r:id="rId5" w:type="default"/>
          <w:footerReference r:id="rId6" w:type="default"/>
          <w:pgSz w:w="11907" w:h="16840"/>
          <w:pgMar w:top="2098" w:right="1361" w:bottom="1304" w:left="1474" w:header="765" w:footer="765" w:gutter="0"/>
          <w:pgNumType w:fmt="numberInDash"/>
          <w:cols w:space="720" w:num="1"/>
          <w:docGrid w:linePitch="326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十三、关于空表的说明</w:t>
      </w:r>
    </w:p>
    <w:p w14:paraId="155D9B75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  <w:bookmarkStart w:id="0" w:name="_Toc78784554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第一部分  概 况</w:t>
      </w:r>
      <w:bookmarkEnd w:id="0"/>
    </w:p>
    <w:p w14:paraId="37FCBE6B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066967D4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bookmarkStart w:id="1" w:name="_Toc78784555"/>
      <w:r>
        <w:rPr>
          <w:rFonts w:hint="eastAsia" w:ascii="黑体" w:hAnsi="黑体" w:eastAsia="黑体" w:cs="黑体"/>
          <w:sz w:val="32"/>
          <w:szCs w:val="32"/>
        </w:rPr>
        <w:t>一、主要职责</w:t>
      </w:r>
      <w:bookmarkEnd w:id="1"/>
    </w:p>
    <w:p w14:paraId="4CEEF1F2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bookmarkStart w:id="2" w:name="_Toc78784556"/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统筹推动中国（天津）自由贸易试验区滨海新区中心商务片区落实国家、天津市关于自贸改革创新的工作举措，牵头推进本片区自主实施的自贸政策研究、制度创新工作。</w:t>
      </w:r>
    </w:p>
    <w:p w14:paraId="5D5CD25F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对接天津市自贸领导小组办公室、天津自贸试验区管委会办公室、政策与产业创新局等自贸工作相关单位，做好工作衔接和配合。</w:t>
      </w:r>
    </w:p>
    <w:p w14:paraId="6CAB04C1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结合经开区主导产业、科技创新、绿色低碳等重点领域工作部署，围绕自贸政策创新，统筹推动专项改革方案研究，牵头负责向上级政府争取支持，实现政策突破。</w:t>
      </w:r>
    </w:p>
    <w:p w14:paraId="0477DD42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统筹衔接滨海新区针对自贸试验区工作的考核任务，做好指标完成情况定期监测、预警分析研判及改革任务推进情况日常跟踪工作，及时研究并提出专项工作建议，为党委、管委会优化政策和资源配置提供参考。</w:t>
      </w:r>
    </w:p>
    <w:p w14:paraId="79A47B9B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做好招商服务和支持工作，及时向招商部门推送自贸政策，为招商工作提供政策工具。与招商部门密切联动，围绕招商项目需求开展创新政策定制。</w:t>
      </w:r>
    </w:p>
    <w:p w14:paraId="66A50859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负责面向企业的自贸创新政策宣讲、推介和辅导，引导企业利用自贸政策开拓业务领域、扩大经营规模。结合细分产业制度创新共性需求，开展全产业链自贸政策集成创新。</w:t>
      </w:r>
    </w:p>
    <w:p w14:paraId="4C0295F2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梳理、总结、汇总自贸改革创新经验，编制改革试点案例，向上级提交可复制、可推广创新成果建议。</w:t>
      </w:r>
    </w:p>
    <w:p w14:paraId="7A392604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配合开展中心商务片区自贸创新工作的对外宣传推介，向相关部门提供宣传素材和资料。</w:t>
      </w:r>
    </w:p>
    <w:p w14:paraId="36E24358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负责联系属地海关，按照党委、管委会相关要求做好运行保障服务工作，配合开展监管政策创新。</w:t>
      </w:r>
    </w:p>
    <w:p w14:paraId="034E1041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0.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负责经开区企业口岸通关协调服务，对接属地海关和天津海关相关职能部门，协调解决企业物流通关和海关监管方面的具体问题。</w:t>
      </w:r>
    </w:p>
    <w:p w14:paraId="62F063C9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承办海关特殊监管区日常管理工作，负责做好驻区海关、检验检疫等单位设施、设备的保障服务。围绕海关特殊监管区建设发展做好与海关、外管等相关部门的协调工作，负责保税物流中心和泰达国检中心的日常运营管理。</w:t>
      </w:r>
    </w:p>
    <w:p w14:paraId="2E31BF95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负责综合保税区的招商引资、产业发展和业态创新工作。对全国综合保税区及其他特殊监管区有关政策、规划、发展动态进行跟踪研究，及时向管委会提供相关信息。</w:t>
      </w:r>
    </w:p>
    <w:p w14:paraId="013DFA89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负责综合保税区内企业投资和经营有关数据的分析统计和上报工作。</w:t>
      </w:r>
    </w:p>
    <w:p w14:paraId="4BC43150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负责综合保税区园区开发，协调有关部门做好基础设施项目建设和环境管理工作。</w:t>
      </w:r>
    </w:p>
    <w:p w14:paraId="26E41886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配合应急管理部门做好海关特殊监管区区域内日常安全检查工作，对突发公共事件先期应急处置。</w:t>
      </w:r>
    </w:p>
    <w:p w14:paraId="166F0590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负责本领域安全生产管理，从行业规划、产业政策、法规标准等方面加强本领域安全生产工作，指导督促企业加强安全管理。</w:t>
      </w:r>
    </w:p>
    <w:p w14:paraId="383C5909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贯彻落实本部门全面从严治党主体责任，严格落实基层党建工作任务，发挥党组织战斗堡垒作用和党员先锋模范作用。</w:t>
      </w:r>
    </w:p>
    <w:p w14:paraId="6B420B1E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完成党委、管委会交办的其他各项工作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 w14:paraId="49A803F5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二、机构设置</w:t>
      </w:r>
      <w:bookmarkEnd w:id="2"/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37098F6C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中国（天津）自由贸易试验区滨海新区中心商务片区工作局内设4个职能科室；无下辖预算单位。</w:t>
      </w:r>
    </w:p>
    <w:p w14:paraId="548BEBDF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纳入中国（天津）自由贸易试验区滨海新区中心商务片区工作局2026年部门预算编制范围的预算单位包括部门本级。</w:t>
      </w:r>
    </w:p>
    <w:p w14:paraId="1FB17AF0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  <w:sectPr>
          <w:pgSz w:w="11907" w:h="16840"/>
          <w:pgMar w:top="2098" w:right="1361" w:bottom="1304" w:left="1474" w:header="765" w:footer="765" w:gutter="0"/>
          <w:pgNumType w:fmt="numberInDash"/>
          <w:cols w:space="720" w:num="1"/>
          <w:docGrid w:linePitch="326" w:charSpace="0"/>
        </w:sectPr>
      </w:pPr>
    </w:p>
    <w:p w14:paraId="70A4C04B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  <w:bookmarkStart w:id="3" w:name="_Toc7878457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第二部分 2026年部门预算情况说明</w:t>
      </w:r>
      <w:bookmarkEnd w:id="3"/>
    </w:p>
    <w:p w14:paraId="64A86BCD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3FF2CF3F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bookmarkStart w:id="4" w:name="_Toc78784571"/>
      <w:r>
        <w:rPr>
          <w:rFonts w:hint="eastAsia" w:ascii="黑体" w:hAnsi="黑体" w:eastAsia="黑体" w:cs="黑体"/>
          <w:sz w:val="32"/>
          <w:szCs w:val="32"/>
        </w:rPr>
        <w:t>一、</w:t>
      </w:r>
      <w:bookmarkEnd w:id="4"/>
      <w:r>
        <w:rPr>
          <w:rFonts w:hint="eastAsia" w:ascii="黑体" w:hAnsi="黑体" w:eastAsia="黑体" w:cs="黑体"/>
          <w:sz w:val="32"/>
          <w:szCs w:val="32"/>
        </w:rPr>
        <w:t>关于2026年收支预算总表的说明</w:t>
      </w:r>
    </w:p>
    <w:p w14:paraId="6C85E4C0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按照综合预算的原则，本部门所有收入和支出均纳入部门预算管理。收入包括：一般公共预算拨款收入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万元、政府性基金预算拨款收入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万元、国有资本经营预算拨款收入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万元、纳入财政专户的教育收费拨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款</w:t>
      </w:r>
      <w:r>
        <w:rPr>
          <w:rFonts w:ascii="仿宋_GB2312" w:hAnsi="仿宋_GB2312" w:eastAsia="仿宋_GB2312" w:cs="仿宋_GB2312"/>
          <w:spacing w:val="-2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万元、其他事业收入</w:t>
      </w:r>
      <w:r>
        <w:rPr>
          <w:rFonts w:ascii="仿宋_GB2312" w:hAnsi="仿宋_GB2312" w:eastAsia="仿宋_GB2312" w:cs="仿宋_GB2312"/>
          <w:spacing w:val="-2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万元、经营收入0万元、上级补助收入</w:t>
      </w:r>
      <w:r>
        <w:rPr>
          <w:rFonts w:ascii="仿宋_GB2312" w:hAnsi="仿宋_GB2312" w:eastAsia="仿宋_GB2312" w:cs="仿宋_GB2312"/>
          <w:spacing w:val="-2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万元、附属单位上缴收入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万元、其他收入0万元、上年结转和结余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万元；支出包括：一般公共服务支出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万元。本部门2026年收支总预算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1098AE2D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bookmarkStart w:id="5" w:name="_Toc78784572"/>
      <w:r>
        <w:rPr>
          <w:rFonts w:hint="eastAsia" w:ascii="黑体" w:hAnsi="黑体" w:eastAsia="黑体" w:cs="黑体"/>
          <w:sz w:val="32"/>
          <w:szCs w:val="32"/>
        </w:rPr>
        <w:t>二、</w:t>
      </w:r>
      <w:bookmarkEnd w:id="5"/>
      <w:r>
        <w:rPr>
          <w:rFonts w:hint="eastAsia" w:ascii="黑体" w:hAnsi="黑体" w:eastAsia="黑体" w:cs="黑体"/>
          <w:sz w:val="32"/>
          <w:szCs w:val="32"/>
        </w:rPr>
        <w:t>关于2026年收入预算总表的说明</w:t>
      </w:r>
    </w:p>
    <w:p w14:paraId="179F0BA5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本部门2026年部门预算收入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万元，与2025年预算相比增加1</w:t>
      </w:r>
      <w:r>
        <w:rPr>
          <w:rFonts w:ascii="仿宋_GB2312" w:hAnsi="仿宋_GB2312" w:eastAsia="仿宋_GB2312" w:cs="仿宋_GB2312"/>
          <w:sz w:val="32"/>
          <w:szCs w:val="32"/>
        </w:rPr>
        <w:t>386.79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万元，主要原因是专项收入预算增加。其中：上年结转和结余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%；一般公共预算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%；政府性基金预算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%；国有资本经营预算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%；纳入财政专户的教育收费拨款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其他事业收入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经营收入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%；上级补助收入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%；附属单位上缴收入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%；其他收入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 w14:paraId="1DC4A642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bookmarkStart w:id="6" w:name="_Toc78784573"/>
      <w:r>
        <w:rPr>
          <w:rFonts w:hint="eastAsia" w:ascii="黑体" w:hAnsi="黑体" w:eastAsia="黑体" w:cs="黑体"/>
          <w:sz w:val="32"/>
          <w:szCs w:val="32"/>
        </w:rPr>
        <w:t>三、</w:t>
      </w:r>
      <w:bookmarkEnd w:id="6"/>
      <w:r>
        <w:rPr>
          <w:rFonts w:hint="eastAsia" w:ascii="黑体" w:hAnsi="黑体" w:eastAsia="黑体" w:cs="黑体"/>
          <w:sz w:val="32"/>
          <w:szCs w:val="32"/>
        </w:rPr>
        <w:t>关于2026年支出预算总表的说明</w:t>
      </w:r>
    </w:p>
    <w:p w14:paraId="652E0C32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本部门2026年支出预算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万元，与2025年预算相比增加1</w:t>
      </w:r>
      <w:r>
        <w:rPr>
          <w:rFonts w:ascii="仿宋_GB2312" w:hAnsi="仿宋_GB2312" w:eastAsia="仿宋_GB2312" w:cs="仿宋_GB2312"/>
          <w:sz w:val="32"/>
          <w:szCs w:val="32"/>
        </w:rPr>
        <w:t>386.79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万元，主要原因是专项支出预算增加。其中：基本支出</w:t>
      </w:r>
      <w:r>
        <w:rPr>
          <w:rFonts w:ascii="仿宋_GB2312" w:hAnsi="仿宋_GB2312" w:eastAsia="仿宋_GB2312" w:cs="仿宋_GB2312"/>
          <w:sz w:val="32"/>
          <w:szCs w:val="32"/>
        </w:rPr>
        <w:t>686.4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22.16</w:t>
      </w:r>
      <w:r>
        <w:rPr>
          <w:rFonts w:hint="eastAsia" w:ascii="仿宋_GB2312" w:hAnsi="仿宋_GB2312" w:eastAsia="仿宋_GB2312" w:cs="仿宋_GB2312"/>
          <w:sz w:val="32"/>
          <w:szCs w:val="32"/>
        </w:rPr>
        <w:t>%；项目支出</w:t>
      </w:r>
      <w:r>
        <w:rPr>
          <w:rFonts w:ascii="仿宋_GB2312" w:hAnsi="仿宋_GB2312" w:eastAsia="仿宋_GB2312" w:cs="仿宋_GB2312"/>
          <w:sz w:val="32"/>
          <w:szCs w:val="32"/>
        </w:rPr>
        <w:t>2411.34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77.84</w:t>
      </w:r>
      <w:r>
        <w:rPr>
          <w:rFonts w:hint="eastAsia" w:ascii="仿宋_GB2312" w:hAnsi="仿宋_GB2312" w:eastAsia="仿宋_GB2312" w:cs="仿宋_GB2312"/>
          <w:sz w:val="32"/>
          <w:szCs w:val="32"/>
        </w:rPr>
        <w:t>%；经营支出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%；上缴上级支出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%；对附属单位补助支出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万元，占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%。 </w:t>
      </w:r>
    </w:p>
    <w:p w14:paraId="729DDAF8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bookmarkStart w:id="7" w:name="_Toc78784574"/>
      <w:r>
        <w:rPr>
          <w:rFonts w:hint="eastAsia" w:ascii="黑体" w:hAnsi="黑体" w:eastAsia="黑体" w:cs="黑体"/>
          <w:sz w:val="32"/>
          <w:szCs w:val="32"/>
        </w:rPr>
        <w:t>四、</w:t>
      </w:r>
      <w:bookmarkEnd w:id="7"/>
      <w:r>
        <w:rPr>
          <w:rFonts w:hint="eastAsia" w:ascii="黑体" w:hAnsi="黑体" w:eastAsia="黑体" w:cs="黑体"/>
          <w:sz w:val="32"/>
          <w:szCs w:val="32"/>
        </w:rPr>
        <w:t>关于2026年财政拨款收支预算总表的说明</w:t>
      </w:r>
    </w:p>
    <w:p w14:paraId="4AD505A9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本部门2026年财政拨款收入预算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万元，与2025年预算相比增加1</w:t>
      </w:r>
      <w:r>
        <w:rPr>
          <w:rFonts w:ascii="仿宋_GB2312" w:hAnsi="仿宋_GB2312" w:eastAsia="仿宋_GB2312" w:cs="仿宋_GB2312"/>
          <w:sz w:val="32"/>
          <w:szCs w:val="32"/>
        </w:rPr>
        <w:t>386.79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万元，主要原因是专项收入预算增加。收入包括：一般公共预算拨款收入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万元、政府性基金预算拨款收入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万元、国有资本经营预算拨款收入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万元、上年财政结转和结余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万元。2026年财政拨款支出预算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万元，与2025年预算相比增加1</w:t>
      </w:r>
      <w:r>
        <w:rPr>
          <w:rFonts w:ascii="仿宋_GB2312" w:hAnsi="仿宋_GB2312" w:eastAsia="仿宋_GB2312" w:cs="仿宋_GB2312"/>
          <w:sz w:val="32"/>
          <w:szCs w:val="32"/>
        </w:rPr>
        <w:t>386.79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万元，主要原因是专项支出预算增加。支出包括：一般公共服务支出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55E3D10F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bookmarkStart w:id="8" w:name="_Toc78784575"/>
      <w:r>
        <w:rPr>
          <w:rFonts w:hint="eastAsia" w:ascii="黑体" w:hAnsi="黑体" w:eastAsia="黑体" w:cs="黑体"/>
          <w:sz w:val="32"/>
          <w:szCs w:val="32"/>
        </w:rPr>
        <w:t>五、</w:t>
      </w:r>
      <w:bookmarkEnd w:id="8"/>
      <w:r>
        <w:rPr>
          <w:rFonts w:hint="eastAsia" w:ascii="黑体" w:hAnsi="黑体" w:eastAsia="黑体" w:cs="黑体"/>
          <w:sz w:val="32"/>
          <w:szCs w:val="32"/>
        </w:rPr>
        <w:t>关于2026年财政拨款一般公共预算支出预算表的说明</w:t>
      </w:r>
    </w:p>
    <w:p w14:paraId="5EB39D38">
      <w:pPr>
        <w:snapToGrid w:val="0"/>
        <w:spacing w:line="60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（一）总体情况</w:t>
      </w:r>
    </w:p>
    <w:p w14:paraId="103503D9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本部门2026年一般公共预算支出</w:t>
      </w:r>
      <w:r>
        <w:rPr>
          <w:rFonts w:ascii="仿宋_GB2312" w:hAnsi="仿宋_GB2312" w:eastAsia="仿宋_GB2312" w:cs="仿宋_GB2312"/>
          <w:sz w:val="32"/>
          <w:szCs w:val="32"/>
        </w:rPr>
        <w:t>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万元，与2025年预算相比增加1</w:t>
      </w:r>
      <w:r>
        <w:rPr>
          <w:rFonts w:ascii="仿宋_GB2312" w:hAnsi="仿宋_GB2312" w:eastAsia="仿宋_GB2312" w:cs="仿宋_GB2312"/>
          <w:sz w:val="32"/>
          <w:szCs w:val="32"/>
        </w:rPr>
        <w:t>386.79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万元，主要原因是专项支出预算增加。</w:t>
      </w:r>
    </w:p>
    <w:p w14:paraId="76649ACE">
      <w:pPr>
        <w:snapToGrid w:val="0"/>
        <w:spacing w:line="60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（二）具体情况</w:t>
      </w:r>
    </w:p>
    <w:p w14:paraId="1879B332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1. “一般公共服务支出”</w:t>
      </w:r>
      <w:r>
        <w:rPr>
          <w:rFonts w:ascii="仿宋_GB2312" w:hAnsi="仿宋_GB2312" w:eastAsia="仿宋_GB2312" w:cs="仿宋_GB2312"/>
          <w:sz w:val="32"/>
          <w:szCs w:val="32"/>
        </w:rPr>
        <w:t xml:space="preserve"> 3097.74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万元，与2025年预算相比增加1</w:t>
      </w:r>
      <w:r>
        <w:rPr>
          <w:rFonts w:ascii="仿宋_GB2312" w:hAnsi="仿宋_GB2312" w:eastAsia="仿宋_GB2312" w:cs="仿宋_GB2312"/>
          <w:sz w:val="32"/>
          <w:szCs w:val="32"/>
        </w:rPr>
        <w:t>386.79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万元，主要原因是专项支出预算增加，其中：</w:t>
      </w:r>
    </w:p>
    <w:p w14:paraId="4F60D972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“政府办公厅（室）及相关机构事务”</w:t>
      </w:r>
      <w:r>
        <w:rPr>
          <w:rFonts w:ascii="仿宋_GB2312" w:hAnsi="仿宋_GB2312" w:eastAsia="仿宋_GB2312" w:cs="仿宋_GB2312"/>
          <w:sz w:val="32"/>
          <w:szCs w:val="32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万元，包括：“一般行政管理事务”</w:t>
      </w:r>
      <w:r>
        <w:rPr>
          <w:rFonts w:ascii="仿宋_GB2312" w:hAnsi="仿宋_GB2312" w:eastAsia="仿宋_GB2312" w:cs="仿宋_GB2312"/>
          <w:sz w:val="32"/>
          <w:szCs w:val="32"/>
        </w:rPr>
        <w:t>59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万元，主要用于安保专项支出、自贸工作专项支出。</w:t>
      </w:r>
    </w:p>
    <w:p w14:paraId="1FB57449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“海关事务”</w:t>
      </w:r>
      <w:r>
        <w:rPr>
          <w:rFonts w:ascii="仿宋_GB2312" w:hAnsi="仿宋_GB2312" w:eastAsia="仿宋_GB2312" w:cs="仿宋_GB2312"/>
          <w:sz w:val="32"/>
          <w:szCs w:val="32"/>
        </w:rPr>
        <w:t>2302.34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万元，包括：“一般行政管理事务”</w:t>
      </w:r>
      <w:r>
        <w:rPr>
          <w:rFonts w:ascii="仿宋_GB2312" w:hAnsi="仿宋_GB2312" w:eastAsia="仿宋_GB2312" w:cs="仿宋_GB2312"/>
          <w:sz w:val="32"/>
          <w:szCs w:val="32"/>
        </w:rPr>
        <w:t>2302.34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万元，主要用于驻区海关相关支出。</w:t>
      </w:r>
    </w:p>
    <w:p w14:paraId="2874FA24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“商贸事务”</w:t>
      </w:r>
      <w:r>
        <w:rPr>
          <w:rFonts w:ascii="仿宋_GB2312" w:hAnsi="仿宋_GB2312" w:eastAsia="仿宋_GB2312" w:cs="仿宋_GB2312"/>
          <w:sz w:val="32"/>
          <w:szCs w:val="32"/>
        </w:rPr>
        <w:t>736.4万元，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“行政运行”</w:t>
      </w:r>
      <w:r>
        <w:rPr>
          <w:rFonts w:ascii="仿宋_GB2312" w:hAnsi="仿宋_GB2312" w:eastAsia="仿宋_GB2312" w:cs="仿宋_GB2312"/>
          <w:sz w:val="32"/>
          <w:szCs w:val="32"/>
        </w:rPr>
        <w:t>686.4万元，主要用于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人员经费支出、日常公用经费支出</w:t>
      </w:r>
      <w:r>
        <w:rPr>
          <w:rFonts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“招商引资”</w:t>
      </w:r>
      <w:r>
        <w:rPr>
          <w:rFonts w:ascii="仿宋_GB2312" w:hAnsi="仿宋_GB2312" w:eastAsia="仿宋_GB2312" w:cs="仿宋_GB2312"/>
          <w:sz w:val="32"/>
          <w:szCs w:val="32"/>
        </w:rPr>
        <w:t>50万元，主要用于</w:t>
      </w:r>
      <w:r>
        <w:rPr>
          <w:rFonts w:hint="eastAsia" w:ascii="仿宋_GB2312" w:hAnsi="仿宋_GB2312" w:eastAsia="仿宋_GB2312" w:cs="仿宋_GB2312"/>
          <w:sz w:val="32"/>
          <w:szCs w:val="32"/>
        </w:rPr>
        <w:t>招商引资。</w:t>
      </w:r>
    </w:p>
    <w:p w14:paraId="5DCF743A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bookmarkStart w:id="9" w:name="_Toc78784576"/>
      <w:r>
        <w:rPr>
          <w:rFonts w:hint="eastAsia" w:ascii="黑体" w:hAnsi="黑体" w:eastAsia="黑体" w:cs="黑体"/>
          <w:sz w:val="32"/>
          <w:szCs w:val="32"/>
        </w:rPr>
        <w:t>六、</w:t>
      </w:r>
      <w:bookmarkEnd w:id="9"/>
      <w:r>
        <w:rPr>
          <w:rFonts w:hint="eastAsia" w:ascii="黑体" w:hAnsi="黑体" w:eastAsia="黑体" w:cs="黑体"/>
          <w:sz w:val="32"/>
          <w:szCs w:val="32"/>
        </w:rPr>
        <w:t>关于2026年财政拨款一般公共预算基本支出预算表的说明</w:t>
      </w:r>
    </w:p>
    <w:p w14:paraId="137278A4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本部门一般公共预算基本支出</w:t>
      </w:r>
      <w:r>
        <w:rPr>
          <w:rFonts w:ascii="仿宋_GB2312" w:hAnsi="仿宋_GB2312" w:eastAsia="仿宋_GB2312" w:cs="仿宋_GB2312"/>
          <w:sz w:val="32"/>
          <w:szCs w:val="32"/>
        </w:rPr>
        <w:t>686.4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万元，与2025年预算相比增加1</w:t>
      </w:r>
      <w:r>
        <w:rPr>
          <w:rFonts w:ascii="仿宋_GB2312" w:hAnsi="仿宋_GB2312" w:eastAsia="仿宋_GB2312" w:cs="仿宋_GB2312"/>
          <w:sz w:val="32"/>
          <w:szCs w:val="32"/>
        </w:rPr>
        <w:t>98.19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万元，主要原因是人员支出增加。其中：</w:t>
      </w:r>
    </w:p>
    <w:p w14:paraId="031539D6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人员经费</w:t>
      </w:r>
      <w:r>
        <w:rPr>
          <w:rFonts w:ascii="仿宋_GB2312" w:hAnsi="仿宋_GB2312" w:eastAsia="仿宋_GB2312" w:cs="仿宋_GB2312"/>
          <w:sz w:val="32"/>
          <w:szCs w:val="32"/>
        </w:rPr>
        <w:t>663.32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万元，主要包括：基本工资、津贴补贴、机关事业单位基本养老保险缴费、职业年金缴费、职工基本医疗保险缴费、其他社会保障缴费、住房公积金。</w:t>
      </w:r>
    </w:p>
    <w:p w14:paraId="1AEF3760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公用经费</w:t>
      </w:r>
      <w:r>
        <w:rPr>
          <w:rFonts w:ascii="仿宋_GB2312" w:hAnsi="仿宋_GB2312" w:eastAsia="仿宋_GB2312" w:cs="仿宋_GB2312"/>
          <w:sz w:val="32"/>
          <w:szCs w:val="32"/>
        </w:rPr>
        <w:t>23.08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万元，主要包括：办公费、印刷费、水费、邮电费、差旅费、维修(护)费、公务接待费、其他交通费用、其他商品和服务支出。</w:t>
      </w:r>
    </w:p>
    <w:p w14:paraId="1DA069B4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bookmarkStart w:id="10" w:name="_Toc78784577"/>
      <w:r>
        <w:rPr>
          <w:rFonts w:hint="eastAsia" w:ascii="黑体" w:hAnsi="黑体" w:eastAsia="黑体" w:cs="黑体"/>
          <w:sz w:val="32"/>
          <w:szCs w:val="32"/>
        </w:rPr>
        <w:t>七、关于2026年财政拨款一般公共预算“三公”经费支出预算表的说明</w:t>
      </w:r>
    </w:p>
    <w:p w14:paraId="0C6D49B1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2026年一般公共预算“三公”经费安排</w:t>
      </w:r>
      <w:r>
        <w:rPr>
          <w:rFonts w:ascii="仿宋_GB2312" w:hAnsi="仿宋_GB2312" w:eastAsia="仿宋_GB2312" w:cs="仿宋_GB2312"/>
          <w:sz w:val="32"/>
          <w:szCs w:val="32"/>
        </w:rPr>
        <w:t>0.1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万元，与2025年预算相比减少0</w:t>
      </w:r>
      <w:r>
        <w:rPr>
          <w:rFonts w:ascii="仿宋_GB2312" w:hAnsi="仿宋_GB2312" w:eastAsia="仿宋_GB2312" w:cs="仿宋_GB2312"/>
          <w:sz w:val="32"/>
          <w:szCs w:val="32"/>
        </w:rPr>
        <w:t>.2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万元，主要原因是严控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三公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bookmarkStart w:id="14" w:name="_GoBack"/>
      <w:bookmarkEnd w:id="14"/>
      <w:r>
        <w:rPr>
          <w:rFonts w:hint="eastAsia" w:ascii="仿宋_GB2312" w:hAnsi="仿宋_GB2312" w:eastAsia="仿宋_GB2312" w:cs="仿宋_GB2312"/>
          <w:sz w:val="32"/>
          <w:szCs w:val="32"/>
        </w:rPr>
        <w:t xml:space="preserve">经费支出。    </w:t>
      </w:r>
    </w:p>
    <w:p w14:paraId="54A23022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具体情况：</w:t>
      </w:r>
    </w:p>
    <w:p w14:paraId="5F11EB28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（一）2026年因公出国（境）费预算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万元，与2025年预算相比增加0万元，主要原因是未安排公务出国（境）活动。</w:t>
      </w:r>
    </w:p>
    <w:p w14:paraId="75BAF6BD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（二）2026年公务用车购置及运行费预算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万元，其中公务用车运行费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万元，与2025年预算相比增加0万元，主要原因是无公务用车；公务用车购置费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万元，与2025年预算相比增加0万元，主要原因是未安排购置公务用车。</w:t>
      </w:r>
    </w:p>
    <w:p w14:paraId="49AE9EA7">
      <w:pPr>
        <w:snapToGrid w:val="0"/>
        <w:spacing w:line="600" w:lineRule="exact"/>
        <w:ind w:firstLine="645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（三）2026年公务接待费预算</w:t>
      </w:r>
      <w:r>
        <w:rPr>
          <w:rFonts w:ascii="仿宋_GB2312" w:hAnsi="仿宋_GB2312" w:eastAsia="仿宋_GB2312" w:cs="仿宋_GB2312"/>
          <w:sz w:val="32"/>
          <w:szCs w:val="32"/>
        </w:rPr>
        <w:t>0.1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万元，与2025年预算相比减少</w:t>
      </w:r>
      <w:r>
        <w:rPr>
          <w:rFonts w:ascii="仿宋_GB2312" w:hAnsi="仿宋_GB2312" w:eastAsia="仿宋_GB2312" w:cs="仿宋_GB2312"/>
          <w:sz w:val="32"/>
          <w:szCs w:val="32"/>
        </w:rPr>
        <w:t>0.2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万元，主要原因是严控公务接待支出。</w:t>
      </w:r>
    </w:p>
    <w:p w14:paraId="5BF99325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</w:t>
      </w:r>
      <w:bookmarkEnd w:id="10"/>
      <w:r>
        <w:rPr>
          <w:rFonts w:hint="eastAsia" w:ascii="黑体" w:hAnsi="黑体" w:eastAsia="黑体" w:cs="黑体"/>
          <w:sz w:val="32"/>
          <w:szCs w:val="32"/>
        </w:rPr>
        <w:t>关于2026年财政拨款政府性基金预算支出预算表的说明</w:t>
      </w:r>
    </w:p>
    <w:p w14:paraId="6F57BC28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2026年自贸局预算中没有使用政府性基金预算安排的支出。</w:t>
      </w:r>
    </w:p>
    <w:p w14:paraId="262F26EF">
      <w:pPr>
        <w:snapToGrid w:val="0"/>
        <w:spacing w:line="600" w:lineRule="exact"/>
        <w:ind w:firstLine="640" w:firstLineChars="200"/>
        <w:jc w:val="both"/>
        <w:rPr>
          <w:rFonts w:ascii="黑体" w:hAnsi="黑体" w:eastAsia="黑体" w:cs="黑体"/>
          <w:sz w:val="32"/>
          <w:szCs w:val="32"/>
        </w:rPr>
      </w:pPr>
      <w:bookmarkStart w:id="11" w:name="_Toc78784578"/>
      <w:r>
        <w:rPr>
          <w:rFonts w:hint="eastAsia" w:ascii="黑体" w:hAnsi="黑体" w:eastAsia="黑体" w:cs="黑体"/>
          <w:sz w:val="32"/>
          <w:szCs w:val="32"/>
        </w:rPr>
        <w:t>九、关于2026年国有资本经营预算支出预算表</w:t>
      </w:r>
      <w:bookmarkEnd w:id="11"/>
      <w:r>
        <w:rPr>
          <w:rFonts w:hint="eastAsia" w:ascii="黑体" w:hAnsi="黑体" w:eastAsia="黑体" w:cs="黑体"/>
          <w:sz w:val="32"/>
          <w:szCs w:val="32"/>
        </w:rPr>
        <w:t>的说明</w:t>
      </w:r>
    </w:p>
    <w:p w14:paraId="61BD8D81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bookmarkStart w:id="12" w:name="_Toc78784579"/>
      <w:r>
        <w:rPr>
          <w:rFonts w:hint="eastAsia" w:ascii="仿宋_GB2312" w:hAnsi="仿宋_GB2312" w:eastAsia="仿宋_GB2312" w:cs="仿宋_GB2312"/>
          <w:sz w:val="32"/>
          <w:szCs w:val="32"/>
        </w:rPr>
        <w:t>2026年自贸局预算中没有使用国有资本经营预算安排的支出。</w:t>
      </w:r>
    </w:p>
    <w:p w14:paraId="327C0306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十、其他重要事项的情况说明</w:t>
      </w:r>
    </w:p>
    <w:p w14:paraId="7500244F">
      <w:pPr>
        <w:snapToGrid w:val="0"/>
        <w:spacing w:line="60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（一）机关运行经费</w:t>
      </w:r>
      <w:bookmarkEnd w:id="12"/>
    </w:p>
    <w:p w14:paraId="0238C677">
      <w:pPr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本部门2026年自贸局1家行政单位的机关运行经费预算</w:t>
      </w:r>
      <w:r>
        <w:rPr>
          <w:rFonts w:ascii="仿宋_GB2312" w:hAnsi="仿宋_GB2312" w:eastAsia="仿宋_GB2312" w:cs="仿宋_GB2312"/>
          <w:sz w:val="32"/>
          <w:szCs w:val="32"/>
        </w:rPr>
        <w:t>23.08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万元，包括办公费</w:t>
      </w:r>
      <w:r>
        <w:rPr>
          <w:rFonts w:ascii="仿宋_GB2312" w:hAnsi="仿宋_GB2312" w:eastAsia="仿宋_GB2312" w:cs="仿宋_GB2312"/>
          <w:sz w:val="32"/>
          <w:szCs w:val="32"/>
        </w:rPr>
        <w:t>4.9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万元、印刷费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万元、水费0</w:t>
      </w:r>
      <w:r>
        <w:rPr>
          <w:rFonts w:ascii="仿宋_GB2312" w:hAnsi="仿宋_GB2312" w:eastAsia="仿宋_GB2312" w:cs="仿宋_GB2312"/>
          <w:sz w:val="32"/>
          <w:szCs w:val="32"/>
        </w:rPr>
        <w:t>.5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万元、邮电费0</w:t>
      </w:r>
      <w:r>
        <w:rPr>
          <w:rFonts w:ascii="仿宋_GB2312" w:hAnsi="仿宋_GB2312" w:eastAsia="仿宋_GB2312" w:cs="仿宋_GB2312"/>
          <w:sz w:val="32"/>
          <w:szCs w:val="32"/>
        </w:rPr>
        <w:t>.6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万元、差旅费2万元、维修(护)费0</w:t>
      </w:r>
      <w:r>
        <w:rPr>
          <w:rFonts w:ascii="仿宋_GB2312" w:hAnsi="仿宋_GB2312" w:eastAsia="仿宋_GB2312" w:cs="仿宋_GB2312"/>
          <w:sz w:val="32"/>
          <w:szCs w:val="32"/>
        </w:rPr>
        <w:t>.1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万元、公务接待费0</w:t>
      </w:r>
      <w:r>
        <w:rPr>
          <w:rFonts w:ascii="仿宋_GB2312" w:hAnsi="仿宋_GB2312" w:eastAsia="仿宋_GB2312" w:cs="仿宋_GB2312"/>
          <w:sz w:val="32"/>
          <w:szCs w:val="32"/>
        </w:rPr>
        <w:t>.1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万元、其他交通费用</w:t>
      </w:r>
      <w:r>
        <w:rPr>
          <w:rFonts w:ascii="仿宋_GB2312" w:hAnsi="仿宋_GB2312" w:eastAsia="仿宋_GB2312" w:cs="仿宋_GB2312"/>
          <w:sz w:val="32"/>
          <w:szCs w:val="32"/>
        </w:rPr>
        <w:t>10.56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万元、其他商品和服务支出</w:t>
      </w:r>
      <w:r>
        <w:rPr>
          <w:rFonts w:ascii="仿宋_GB2312" w:hAnsi="仿宋_GB2312" w:eastAsia="仿宋_GB2312" w:cs="仿宋_GB2312"/>
          <w:sz w:val="32"/>
          <w:szCs w:val="32"/>
        </w:rPr>
        <w:t>3.32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4C33A4B9">
      <w:pPr>
        <w:snapToGrid w:val="0"/>
        <w:spacing w:line="60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（二）政府采购情况</w:t>
      </w:r>
    </w:p>
    <w:p w14:paraId="2E740075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本部门2026年安排政府采购预算</w:t>
      </w:r>
      <w:r>
        <w:rPr>
          <w:rFonts w:ascii="仿宋_GB2312" w:hAnsi="仿宋_GB2312" w:eastAsia="仿宋_GB2312" w:cs="仿宋_GB2312"/>
          <w:sz w:val="32"/>
          <w:szCs w:val="32"/>
        </w:rPr>
        <w:t>802.34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万元，其中：政府采购货物支出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万元、政府采购工程支出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万元、政府采购服务支出</w:t>
      </w:r>
      <w:r>
        <w:rPr>
          <w:rFonts w:ascii="仿宋_GB2312" w:hAnsi="仿宋_GB2312" w:eastAsia="仿宋_GB2312" w:cs="仿宋_GB2312"/>
          <w:sz w:val="32"/>
          <w:szCs w:val="32"/>
        </w:rPr>
        <w:t>802.34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万元。主要项目是：驻区单位（新港海关）项目</w:t>
      </w:r>
      <w:r>
        <w:rPr>
          <w:rFonts w:ascii="仿宋_GB2312" w:hAnsi="仿宋_GB2312" w:eastAsia="仿宋_GB2312" w:cs="仿宋_GB2312"/>
          <w:sz w:val="32"/>
          <w:szCs w:val="32"/>
        </w:rPr>
        <w:t>802.34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72E73EF0">
      <w:pPr>
        <w:snapToGrid w:val="0"/>
        <w:spacing w:line="60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（三）国有资产占用情况</w:t>
      </w:r>
    </w:p>
    <w:p w14:paraId="044752D5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截至2025年7月底，本部门各单位共有车辆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辆，其中：副部（省）级及以上领导用车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辆、主要领导干部用车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辆、机要通信用车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辆、应急保障用车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辆、执法执勤用车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辆、特种专业技术用车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辆、离退休干部用车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辆、其他用车</w:t>
      </w: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辆，其他用车主要包括叉车。单价50万元以上的通用设备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台（套），单价100万元以上的专用设备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台（套）。</w:t>
      </w:r>
    </w:p>
    <w:p w14:paraId="1FA3ACAA">
      <w:pPr>
        <w:snapToGrid w:val="0"/>
        <w:spacing w:line="60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（四）预算绩效情况说明</w:t>
      </w:r>
    </w:p>
    <w:p w14:paraId="11B33225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本部门2026年实行绩效目标管理的项目</w:t>
      </w: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个，涉及预算金额</w:t>
      </w:r>
      <w:r>
        <w:rPr>
          <w:rFonts w:ascii="仿宋_GB2312" w:hAnsi="仿宋_GB2312" w:eastAsia="仿宋_GB2312" w:cs="仿宋_GB2312"/>
          <w:sz w:val="32"/>
          <w:szCs w:val="32"/>
        </w:rPr>
        <w:t>2411.34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1C2F9315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  <w:bookmarkStart w:id="13" w:name="_Toc78784585"/>
      <w:r>
        <w:rPr>
          <w:rFonts w:ascii="方正小标宋简体" w:hAnsi="方正小标宋简体" w:eastAsia="方正小标宋简体" w:cs="方正小标宋简体"/>
          <w:b w:val="0"/>
          <w:bCs w:val="0"/>
          <w:sz w:val="48"/>
          <w:szCs w:val="48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第三部分  名词解释</w:t>
      </w:r>
      <w:bookmarkEnd w:id="13"/>
    </w:p>
    <w:p w14:paraId="3465A199">
      <w:pPr>
        <w:snapToGrid w:val="0"/>
        <w:spacing w:line="600" w:lineRule="exact"/>
        <w:ind w:firstLine="560" w:firstLineChars="200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6A089229">
      <w:pPr>
        <w:snapToGrid w:val="0"/>
        <w:spacing w:line="600" w:lineRule="exact"/>
        <w:ind w:firstLine="643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1.部门预算。</w:t>
      </w:r>
      <w:r>
        <w:rPr>
          <w:rFonts w:hint="eastAsia" w:ascii="仿宋_GB2312" w:hAnsi="仿宋_GB2312" w:eastAsia="仿宋_GB2312" w:cs="仿宋_GB2312"/>
          <w:sz w:val="32"/>
          <w:szCs w:val="32"/>
        </w:rPr>
        <w:t>是指主管预算部门依据相关法律、法规和政策规定及其行使职能需要，组织所属预算单位编制并逐级上报、审核、汇总，经财政部门审核后按程序依法批准的部门综合收支计划。</w:t>
      </w:r>
    </w:p>
    <w:p w14:paraId="7718905E">
      <w:pPr>
        <w:snapToGrid w:val="0"/>
        <w:spacing w:line="600" w:lineRule="exact"/>
        <w:ind w:firstLine="643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2. 机关运行经费。</w:t>
      </w:r>
      <w:r>
        <w:rPr>
          <w:rFonts w:hint="eastAsia" w:ascii="仿宋_GB2312" w:hAnsi="仿宋_GB2312" w:eastAsia="仿宋_GB2312" w:cs="仿宋_GB2312"/>
          <w:sz w:val="32"/>
          <w:szCs w:val="32"/>
        </w:rPr>
        <w:t>是指各部门的公用经费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 w14:paraId="7498358D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8"/>
          <w:szCs w:val="48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8"/>
          <w:szCs w:val="48"/>
        </w:rPr>
        <w:br w:type="pag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8"/>
          <w:szCs w:val="48"/>
        </w:rPr>
        <w:t>第四部分  2026年部门预算表</w:t>
      </w:r>
    </w:p>
    <w:p w14:paraId="774D5716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5940A420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一、2026年收支预算总表</w:t>
      </w:r>
    </w:p>
    <w:p w14:paraId="393CD71B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二、2026年收入预算总表</w:t>
      </w:r>
    </w:p>
    <w:p w14:paraId="0B09156E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三、2026年支出预算总表</w:t>
      </w:r>
    </w:p>
    <w:p w14:paraId="57EAD567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四、2026年财政拨款收支预算总表</w:t>
      </w:r>
    </w:p>
    <w:p w14:paraId="71E6BDC2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五、2026年财政拨款一般公共预算支出预算表</w:t>
      </w:r>
    </w:p>
    <w:p w14:paraId="21E07064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六、2026年财政拨款一般公共预算基本支出预算表</w:t>
      </w:r>
    </w:p>
    <w:p w14:paraId="789B9602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七、2026年财政拨款政府性基金预算支出预算表</w:t>
      </w:r>
    </w:p>
    <w:p w14:paraId="74A300E9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八、2026年财政拨款一般公共预算“三公”经费支出预算表</w:t>
      </w:r>
    </w:p>
    <w:p w14:paraId="0FD1EB1B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九、2026年财政拨款政府采购预算表</w:t>
      </w:r>
    </w:p>
    <w:p w14:paraId="5327F8F3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十、2026年项目支出预算表  </w:t>
      </w:r>
    </w:p>
    <w:p w14:paraId="639705F3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十一、2026年国有资本经营预算支出预算表</w:t>
      </w:r>
    </w:p>
    <w:p w14:paraId="4FB42F73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十二、2026年项目支出绩效目标表</w:t>
      </w:r>
    </w:p>
    <w:p w14:paraId="3AC6236C">
      <w:pPr>
        <w:snapToGrid w:val="0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十三、关于空表的说明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5357F781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1、本部门2026年财政拨款政府性基金预算支出预算表为空表。</w:t>
      </w:r>
    </w:p>
    <w:p w14:paraId="6600A1D7">
      <w:pPr>
        <w:snapToGrid w:val="0"/>
        <w:spacing w:line="60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2、本部门2026年国有资本经营预算支出预算表为空表。</w:t>
      </w:r>
    </w:p>
    <w:p w14:paraId="65A7E24C">
      <w:pPr>
        <w:snapToGrid w:val="0"/>
        <w:spacing w:line="600" w:lineRule="exact"/>
        <w:ind w:firstLine="643" w:firstLineChars="200"/>
        <w:jc w:val="both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sectPr>
      <w:pgSz w:w="11907" w:h="16840"/>
      <w:pgMar w:top="2098" w:right="1361" w:bottom="1304" w:left="1474" w:header="765" w:footer="765" w:gutter="0"/>
      <w:pgNumType w:fmt="numberInDash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Serif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3D1C9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1524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ED0DA">
                          <w:pPr>
                            <w:pStyle w:val="6"/>
                            <w:jc w:val="center"/>
                            <w:rPr>
                              <w:rFonts w:ascii="仿宋_GB2312" w:hAnsi="仿宋_GB2312"/>
                            </w:rPr>
                          </w:pPr>
                          <w:r>
                            <w:rPr>
                              <w:rFonts w:ascii="仿宋_GB2312" w:hAnsi="仿宋_GB2312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仿宋_GB2312" w:hAnsi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仿宋_GB2312" w:hAnsi="仿宋_GB2312"/>
                            </w:rPr>
                            <w:t xml:space="preserve"> 9 -</w:t>
                          </w:r>
                          <w:r>
                            <w:rPr>
                              <w:rFonts w:ascii="仿宋_GB2312" w:hAnsi="仿宋_GB23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pt;width: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MSB6NAAAAADAQAADwAAAAAAAAABACAAAAAiAAAAZHJzL2Rvd25y&#10;ZXYueG1sUEsBAhQAFAAAAAgAh07iQH0h/PkGAgAAAgQAAA4AAAAAAAAAAQAgAAAAHw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BED0DA">
                    <w:pPr>
                      <w:pStyle w:val="6"/>
                      <w:jc w:val="center"/>
                      <w:rPr>
                        <w:rFonts w:ascii="仿宋_GB2312" w:hAnsi="仿宋_GB2312"/>
                      </w:rPr>
                    </w:pPr>
                    <w:r>
                      <w:rPr>
                        <w:rFonts w:ascii="仿宋_GB2312" w:hAnsi="仿宋_GB2312"/>
                      </w:rPr>
                      <w:fldChar w:fldCharType="begin"/>
                    </w:r>
                    <w:r>
                      <w:rPr>
                        <w:rFonts w:ascii="仿宋_GB2312" w:hAnsi="仿宋_GB2312"/>
                      </w:rPr>
                      <w:instrText xml:space="preserve">PAGE   \* MERGEFORMAT</w:instrText>
                    </w:r>
                    <w:r>
                      <w:rPr>
                        <w:rFonts w:ascii="仿宋_GB2312" w:hAnsi="仿宋_GB2312"/>
                      </w:rPr>
                      <w:fldChar w:fldCharType="separate"/>
                    </w:r>
                    <w:r>
                      <w:rPr>
                        <w:rFonts w:ascii="仿宋_GB2312" w:hAnsi="仿宋_GB2312"/>
                        <w:lang w:val="zh-CN"/>
                      </w:rPr>
                      <w:t>-</w:t>
                    </w:r>
                    <w:r>
                      <w:rPr>
                        <w:rFonts w:ascii="仿宋_GB2312" w:hAnsi="仿宋_GB2312"/>
                      </w:rPr>
                      <w:t xml:space="preserve"> 9 -</w:t>
                    </w:r>
                    <w:r>
                      <w:rPr>
                        <w:rFonts w:ascii="仿宋_GB2312" w:hAnsi="仿宋_GB23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90EBA6E">
    <w:pPr>
      <w:pStyle w:val="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67423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iNmNjMzE3ZWEwZWZjNDMyMDU1YzY5M2ExYzdmOWIifQ=="/>
  </w:docVars>
  <w:rsids>
    <w:rsidRoot w:val="00937D77"/>
    <w:rsid w:val="00000C3D"/>
    <w:rsid w:val="0001204D"/>
    <w:rsid w:val="00014B7E"/>
    <w:rsid w:val="000162FC"/>
    <w:rsid w:val="00020DAE"/>
    <w:rsid w:val="00024FCC"/>
    <w:rsid w:val="00025DCF"/>
    <w:rsid w:val="00026B49"/>
    <w:rsid w:val="000279BC"/>
    <w:rsid w:val="00035889"/>
    <w:rsid w:val="0003736F"/>
    <w:rsid w:val="00040A70"/>
    <w:rsid w:val="000546FB"/>
    <w:rsid w:val="00055156"/>
    <w:rsid w:val="000561F0"/>
    <w:rsid w:val="00066DA5"/>
    <w:rsid w:val="00081133"/>
    <w:rsid w:val="00082771"/>
    <w:rsid w:val="00093998"/>
    <w:rsid w:val="00093F1A"/>
    <w:rsid w:val="00097C4D"/>
    <w:rsid w:val="000A4C45"/>
    <w:rsid w:val="000A6A5A"/>
    <w:rsid w:val="000B1B04"/>
    <w:rsid w:val="000B5758"/>
    <w:rsid w:val="000C211F"/>
    <w:rsid w:val="000C3FFB"/>
    <w:rsid w:val="000C5349"/>
    <w:rsid w:val="000C704F"/>
    <w:rsid w:val="000D1BEF"/>
    <w:rsid w:val="000E221E"/>
    <w:rsid w:val="000E5A14"/>
    <w:rsid w:val="000E7C91"/>
    <w:rsid w:val="000F2DDD"/>
    <w:rsid w:val="00103D12"/>
    <w:rsid w:val="001044EF"/>
    <w:rsid w:val="00107793"/>
    <w:rsid w:val="00107F74"/>
    <w:rsid w:val="00115667"/>
    <w:rsid w:val="00141FB3"/>
    <w:rsid w:val="00143640"/>
    <w:rsid w:val="00146622"/>
    <w:rsid w:val="00151976"/>
    <w:rsid w:val="00151DB8"/>
    <w:rsid w:val="00151E56"/>
    <w:rsid w:val="001574DB"/>
    <w:rsid w:val="001616F8"/>
    <w:rsid w:val="001639E6"/>
    <w:rsid w:val="0016548E"/>
    <w:rsid w:val="00167781"/>
    <w:rsid w:val="0017420B"/>
    <w:rsid w:val="0019552B"/>
    <w:rsid w:val="001A1316"/>
    <w:rsid w:val="001A58F7"/>
    <w:rsid w:val="001B47FB"/>
    <w:rsid w:val="001C525C"/>
    <w:rsid w:val="001D786D"/>
    <w:rsid w:val="001E4814"/>
    <w:rsid w:val="001F43D8"/>
    <w:rsid w:val="001F69BB"/>
    <w:rsid w:val="0020344E"/>
    <w:rsid w:val="002114E1"/>
    <w:rsid w:val="00217977"/>
    <w:rsid w:val="00222775"/>
    <w:rsid w:val="00223D56"/>
    <w:rsid w:val="00225E9E"/>
    <w:rsid w:val="002319C9"/>
    <w:rsid w:val="00235DDA"/>
    <w:rsid w:val="002456BF"/>
    <w:rsid w:val="00252DD7"/>
    <w:rsid w:val="002568D5"/>
    <w:rsid w:val="0026664B"/>
    <w:rsid w:val="00290082"/>
    <w:rsid w:val="00290EAC"/>
    <w:rsid w:val="00293ACA"/>
    <w:rsid w:val="002A1782"/>
    <w:rsid w:val="002A23DC"/>
    <w:rsid w:val="002A3DBF"/>
    <w:rsid w:val="002D67AE"/>
    <w:rsid w:val="002D715E"/>
    <w:rsid w:val="002E3C02"/>
    <w:rsid w:val="002F0601"/>
    <w:rsid w:val="002F0F40"/>
    <w:rsid w:val="002F0F49"/>
    <w:rsid w:val="00304097"/>
    <w:rsid w:val="003147A8"/>
    <w:rsid w:val="0032641E"/>
    <w:rsid w:val="003407F4"/>
    <w:rsid w:val="00343F3E"/>
    <w:rsid w:val="0035053A"/>
    <w:rsid w:val="0035182A"/>
    <w:rsid w:val="003609DB"/>
    <w:rsid w:val="00361453"/>
    <w:rsid w:val="00364050"/>
    <w:rsid w:val="003734E1"/>
    <w:rsid w:val="00381526"/>
    <w:rsid w:val="00386D08"/>
    <w:rsid w:val="00391275"/>
    <w:rsid w:val="003929CE"/>
    <w:rsid w:val="003A5370"/>
    <w:rsid w:val="003A7D0E"/>
    <w:rsid w:val="003B24BB"/>
    <w:rsid w:val="003B3A66"/>
    <w:rsid w:val="003C1B4D"/>
    <w:rsid w:val="003C2CCF"/>
    <w:rsid w:val="003D48A4"/>
    <w:rsid w:val="003D647A"/>
    <w:rsid w:val="003E3EA7"/>
    <w:rsid w:val="003F4CDB"/>
    <w:rsid w:val="00404E18"/>
    <w:rsid w:val="00406A09"/>
    <w:rsid w:val="004139C1"/>
    <w:rsid w:val="00415E07"/>
    <w:rsid w:val="004178F1"/>
    <w:rsid w:val="00421C5C"/>
    <w:rsid w:val="00424A5A"/>
    <w:rsid w:val="00452C1F"/>
    <w:rsid w:val="00462D69"/>
    <w:rsid w:val="004645C1"/>
    <w:rsid w:val="004654FD"/>
    <w:rsid w:val="004660E2"/>
    <w:rsid w:val="0046727B"/>
    <w:rsid w:val="0047004A"/>
    <w:rsid w:val="00472621"/>
    <w:rsid w:val="00474C09"/>
    <w:rsid w:val="0048352E"/>
    <w:rsid w:val="004A5DF5"/>
    <w:rsid w:val="004A6EE3"/>
    <w:rsid w:val="004B0888"/>
    <w:rsid w:val="004C0EED"/>
    <w:rsid w:val="004C1F92"/>
    <w:rsid w:val="004C3DEF"/>
    <w:rsid w:val="004D2A21"/>
    <w:rsid w:val="004E5901"/>
    <w:rsid w:val="004E7F96"/>
    <w:rsid w:val="004F1D8F"/>
    <w:rsid w:val="004F304B"/>
    <w:rsid w:val="0050463F"/>
    <w:rsid w:val="00513E0C"/>
    <w:rsid w:val="00531F24"/>
    <w:rsid w:val="00534FC8"/>
    <w:rsid w:val="005442FD"/>
    <w:rsid w:val="00547CCA"/>
    <w:rsid w:val="0055318C"/>
    <w:rsid w:val="0055334A"/>
    <w:rsid w:val="0056218D"/>
    <w:rsid w:val="00563DE0"/>
    <w:rsid w:val="005717FD"/>
    <w:rsid w:val="005768BD"/>
    <w:rsid w:val="00577762"/>
    <w:rsid w:val="00585D27"/>
    <w:rsid w:val="00586CDB"/>
    <w:rsid w:val="0058731A"/>
    <w:rsid w:val="00587691"/>
    <w:rsid w:val="0059010F"/>
    <w:rsid w:val="0059248B"/>
    <w:rsid w:val="005B0F7B"/>
    <w:rsid w:val="005B3956"/>
    <w:rsid w:val="005B5E4D"/>
    <w:rsid w:val="005C0A1F"/>
    <w:rsid w:val="005C3C59"/>
    <w:rsid w:val="005D0C85"/>
    <w:rsid w:val="005D5F3F"/>
    <w:rsid w:val="005E0436"/>
    <w:rsid w:val="005E595A"/>
    <w:rsid w:val="005E5D2D"/>
    <w:rsid w:val="005E642E"/>
    <w:rsid w:val="005F3D28"/>
    <w:rsid w:val="005F52AE"/>
    <w:rsid w:val="005F6E16"/>
    <w:rsid w:val="00602A30"/>
    <w:rsid w:val="006054BF"/>
    <w:rsid w:val="00606314"/>
    <w:rsid w:val="00617301"/>
    <w:rsid w:val="00626677"/>
    <w:rsid w:val="0063284A"/>
    <w:rsid w:val="006409A1"/>
    <w:rsid w:val="00646289"/>
    <w:rsid w:val="00646C58"/>
    <w:rsid w:val="0065320E"/>
    <w:rsid w:val="00664752"/>
    <w:rsid w:val="00664FC9"/>
    <w:rsid w:val="00673ABE"/>
    <w:rsid w:val="006777CE"/>
    <w:rsid w:val="006934E1"/>
    <w:rsid w:val="00694200"/>
    <w:rsid w:val="0069616E"/>
    <w:rsid w:val="006A0604"/>
    <w:rsid w:val="006A7042"/>
    <w:rsid w:val="006A7123"/>
    <w:rsid w:val="006A71BC"/>
    <w:rsid w:val="006B0F4B"/>
    <w:rsid w:val="006D456D"/>
    <w:rsid w:val="006D6170"/>
    <w:rsid w:val="006D7313"/>
    <w:rsid w:val="006E5C14"/>
    <w:rsid w:val="006F408B"/>
    <w:rsid w:val="00703777"/>
    <w:rsid w:val="00704BD7"/>
    <w:rsid w:val="00707437"/>
    <w:rsid w:val="00712D13"/>
    <w:rsid w:val="00716804"/>
    <w:rsid w:val="00721A2C"/>
    <w:rsid w:val="00737A20"/>
    <w:rsid w:val="0074381E"/>
    <w:rsid w:val="00747913"/>
    <w:rsid w:val="00754417"/>
    <w:rsid w:val="00774B41"/>
    <w:rsid w:val="00787215"/>
    <w:rsid w:val="00795DC2"/>
    <w:rsid w:val="007A71D6"/>
    <w:rsid w:val="007B750A"/>
    <w:rsid w:val="007C0CD1"/>
    <w:rsid w:val="007C20C6"/>
    <w:rsid w:val="007C220B"/>
    <w:rsid w:val="007C257B"/>
    <w:rsid w:val="007C4FF4"/>
    <w:rsid w:val="007E0D5B"/>
    <w:rsid w:val="007E2276"/>
    <w:rsid w:val="007E418A"/>
    <w:rsid w:val="007F218B"/>
    <w:rsid w:val="00810D0C"/>
    <w:rsid w:val="00821776"/>
    <w:rsid w:val="00824025"/>
    <w:rsid w:val="008277F5"/>
    <w:rsid w:val="0083475B"/>
    <w:rsid w:val="008370F2"/>
    <w:rsid w:val="00841058"/>
    <w:rsid w:val="00844953"/>
    <w:rsid w:val="00846C2E"/>
    <w:rsid w:val="00847B3C"/>
    <w:rsid w:val="00851ECC"/>
    <w:rsid w:val="00861D45"/>
    <w:rsid w:val="00866211"/>
    <w:rsid w:val="00867986"/>
    <w:rsid w:val="00890F33"/>
    <w:rsid w:val="00895DA6"/>
    <w:rsid w:val="008A2192"/>
    <w:rsid w:val="008A584F"/>
    <w:rsid w:val="008B0BE1"/>
    <w:rsid w:val="008C6A37"/>
    <w:rsid w:val="008D0B65"/>
    <w:rsid w:val="008D7A7F"/>
    <w:rsid w:val="008E4B67"/>
    <w:rsid w:val="008F0A65"/>
    <w:rsid w:val="008F2622"/>
    <w:rsid w:val="008F7F2F"/>
    <w:rsid w:val="00904239"/>
    <w:rsid w:val="0090543A"/>
    <w:rsid w:val="00912DED"/>
    <w:rsid w:val="009224E2"/>
    <w:rsid w:val="00922C71"/>
    <w:rsid w:val="00926533"/>
    <w:rsid w:val="00931ADF"/>
    <w:rsid w:val="009339F5"/>
    <w:rsid w:val="00933DD8"/>
    <w:rsid w:val="00934F3E"/>
    <w:rsid w:val="00937D77"/>
    <w:rsid w:val="00946BC0"/>
    <w:rsid w:val="00962587"/>
    <w:rsid w:val="00975959"/>
    <w:rsid w:val="00981960"/>
    <w:rsid w:val="009822BE"/>
    <w:rsid w:val="00990C9A"/>
    <w:rsid w:val="00991992"/>
    <w:rsid w:val="009970B7"/>
    <w:rsid w:val="009A08A7"/>
    <w:rsid w:val="009A3307"/>
    <w:rsid w:val="009A45FD"/>
    <w:rsid w:val="009A47C1"/>
    <w:rsid w:val="009B0D59"/>
    <w:rsid w:val="009B0FCC"/>
    <w:rsid w:val="009C3FA3"/>
    <w:rsid w:val="009C4227"/>
    <w:rsid w:val="009C5EC4"/>
    <w:rsid w:val="009D1FD1"/>
    <w:rsid w:val="009D2134"/>
    <w:rsid w:val="009E6A2C"/>
    <w:rsid w:val="009F0927"/>
    <w:rsid w:val="009F773B"/>
    <w:rsid w:val="00A01A53"/>
    <w:rsid w:val="00A020B8"/>
    <w:rsid w:val="00A1342C"/>
    <w:rsid w:val="00A155CC"/>
    <w:rsid w:val="00A169EE"/>
    <w:rsid w:val="00A25266"/>
    <w:rsid w:val="00A325D0"/>
    <w:rsid w:val="00A37FB3"/>
    <w:rsid w:val="00A410A3"/>
    <w:rsid w:val="00A43941"/>
    <w:rsid w:val="00A47F4B"/>
    <w:rsid w:val="00A50357"/>
    <w:rsid w:val="00A52A4D"/>
    <w:rsid w:val="00A54C43"/>
    <w:rsid w:val="00A54C55"/>
    <w:rsid w:val="00A54DBE"/>
    <w:rsid w:val="00A62D36"/>
    <w:rsid w:val="00A64852"/>
    <w:rsid w:val="00A74096"/>
    <w:rsid w:val="00A8081F"/>
    <w:rsid w:val="00A8708A"/>
    <w:rsid w:val="00A918A4"/>
    <w:rsid w:val="00A91C28"/>
    <w:rsid w:val="00A92155"/>
    <w:rsid w:val="00A96D04"/>
    <w:rsid w:val="00AA3845"/>
    <w:rsid w:val="00AB093E"/>
    <w:rsid w:val="00AB4CBC"/>
    <w:rsid w:val="00AB791A"/>
    <w:rsid w:val="00AC0500"/>
    <w:rsid w:val="00AC4DF4"/>
    <w:rsid w:val="00AD3AA5"/>
    <w:rsid w:val="00AD51D9"/>
    <w:rsid w:val="00AD6740"/>
    <w:rsid w:val="00AD6772"/>
    <w:rsid w:val="00AE14F7"/>
    <w:rsid w:val="00AE3DA6"/>
    <w:rsid w:val="00AF0A58"/>
    <w:rsid w:val="00AF121D"/>
    <w:rsid w:val="00AF38CA"/>
    <w:rsid w:val="00B03433"/>
    <w:rsid w:val="00B100CB"/>
    <w:rsid w:val="00B1463F"/>
    <w:rsid w:val="00B25010"/>
    <w:rsid w:val="00B2697E"/>
    <w:rsid w:val="00B370F4"/>
    <w:rsid w:val="00B4348E"/>
    <w:rsid w:val="00B45D35"/>
    <w:rsid w:val="00B47C04"/>
    <w:rsid w:val="00B53EC1"/>
    <w:rsid w:val="00B64EB1"/>
    <w:rsid w:val="00B66815"/>
    <w:rsid w:val="00B66FA2"/>
    <w:rsid w:val="00B757C2"/>
    <w:rsid w:val="00B90553"/>
    <w:rsid w:val="00B91BBF"/>
    <w:rsid w:val="00B93818"/>
    <w:rsid w:val="00BA2588"/>
    <w:rsid w:val="00BA3C6F"/>
    <w:rsid w:val="00BA407A"/>
    <w:rsid w:val="00BB0598"/>
    <w:rsid w:val="00BB359F"/>
    <w:rsid w:val="00BB423E"/>
    <w:rsid w:val="00BC0DF6"/>
    <w:rsid w:val="00BC3841"/>
    <w:rsid w:val="00BC5E5F"/>
    <w:rsid w:val="00BC76FF"/>
    <w:rsid w:val="00BF3615"/>
    <w:rsid w:val="00BF54DA"/>
    <w:rsid w:val="00BF7933"/>
    <w:rsid w:val="00C04BEF"/>
    <w:rsid w:val="00C1455B"/>
    <w:rsid w:val="00C148BB"/>
    <w:rsid w:val="00C149C4"/>
    <w:rsid w:val="00C17C17"/>
    <w:rsid w:val="00C24562"/>
    <w:rsid w:val="00C378B1"/>
    <w:rsid w:val="00C435D4"/>
    <w:rsid w:val="00C50520"/>
    <w:rsid w:val="00C529D3"/>
    <w:rsid w:val="00C617EC"/>
    <w:rsid w:val="00C63085"/>
    <w:rsid w:val="00C64338"/>
    <w:rsid w:val="00C64EC0"/>
    <w:rsid w:val="00C70269"/>
    <w:rsid w:val="00C77359"/>
    <w:rsid w:val="00C77971"/>
    <w:rsid w:val="00C8411D"/>
    <w:rsid w:val="00C84F06"/>
    <w:rsid w:val="00C96C5A"/>
    <w:rsid w:val="00CA1B19"/>
    <w:rsid w:val="00CA68E2"/>
    <w:rsid w:val="00CB0036"/>
    <w:rsid w:val="00CB119F"/>
    <w:rsid w:val="00CC066C"/>
    <w:rsid w:val="00CE05B1"/>
    <w:rsid w:val="00CE5A0A"/>
    <w:rsid w:val="00CE6EAE"/>
    <w:rsid w:val="00CE7964"/>
    <w:rsid w:val="00CE7AC9"/>
    <w:rsid w:val="00CE7B3E"/>
    <w:rsid w:val="00CF3C5E"/>
    <w:rsid w:val="00D055B0"/>
    <w:rsid w:val="00D07F2D"/>
    <w:rsid w:val="00D13688"/>
    <w:rsid w:val="00D14C1F"/>
    <w:rsid w:val="00D15FA8"/>
    <w:rsid w:val="00D23791"/>
    <w:rsid w:val="00D23D4D"/>
    <w:rsid w:val="00D27938"/>
    <w:rsid w:val="00D27B83"/>
    <w:rsid w:val="00D51CC5"/>
    <w:rsid w:val="00D55851"/>
    <w:rsid w:val="00D574FF"/>
    <w:rsid w:val="00D608C7"/>
    <w:rsid w:val="00D6212B"/>
    <w:rsid w:val="00D710A8"/>
    <w:rsid w:val="00D710BD"/>
    <w:rsid w:val="00D8056F"/>
    <w:rsid w:val="00D877BB"/>
    <w:rsid w:val="00D92B61"/>
    <w:rsid w:val="00DB28E7"/>
    <w:rsid w:val="00DB3194"/>
    <w:rsid w:val="00DC08C9"/>
    <w:rsid w:val="00DD6E45"/>
    <w:rsid w:val="00DE477D"/>
    <w:rsid w:val="00DE5D74"/>
    <w:rsid w:val="00DE7CDF"/>
    <w:rsid w:val="00DF0B81"/>
    <w:rsid w:val="00DF2103"/>
    <w:rsid w:val="00DF4EF1"/>
    <w:rsid w:val="00DF6570"/>
    <w:rsid w:val="00E01833"/>
    <w:rsid w:val="00E27103"/>
    <w:rsid w:val="00E37F65"/>
    <w:rsid w:val="00E51564"/>
    <w:rsid w:val="00E62551"/>
    <w:rsid w:val="00E65451"/>
    <w:rsid w:val="00E65BBC"/>
    <w:rsid w:val="00E74166"/>
    <w:rsid w:val="00E75826"/>
    <w:rsid w:val="00E804B9"/>
    <w:rsid w:val="00E80586"/>
    <w:rsid w:val="00E8177A"/>
    <w:rsid w:val="00E839D5"/>
    <w:rsid w:val="00E872DD"/>
    <w:rsid w:val="00E90B38"/>
    <w:rsid w:val="00E90C89"/>
    <w:rsid w:val="00E95C79"/>
    <w:rsid w:val="00EA4975"/>
    <w:rsid w:val="00EA6A5C"/>
    <w:rsid w:val="00EA7E75"/>
    <w:rsid w:val="00EB06BE"/>
    <w:rsid w:val="00EB6AAF"/>
    <w:rsid w:val="00EE270C"/>
    <w:rsid w:val="00EE59CA"/>
    <w:rsid w:val="00EE6BD8"/>
    <w:rsid w:val="00EE6DAC"/>
    <w:rsid w:val="00F06551"/>
    <w:rsid w:val="00F11449"/>
    <w:rsid w:val="00F211C0"/>
    <w:rsid w:val="00F224AE"/>
    <w:rsid w:val="00F34920"/>
    <w:rsid w:val="00F5220F"/>
    <w:rsid w:val="00F54E60"/>
    <w:rsid w:val="00F5688C"/>
    <w:rsid w:val="00F619E7"/>
    <w:rsid w:val="00F67141"/>
    <w:rsid w:val="00F729CE"/>
    <w:rsid w:val="00F81314"/>
    <w:rsid w:val="00F86B2D"/>
    <w:rsid w:val="00F86C27"/>
    <w:rsid w:val="00F86DF0"/>
    <w:rsid w:val="00F943D8"/>
    <w:rsid w:val="00FB4035"/>
    <w:rsid w:val="00FC57FA"/>
    <w:rsid w:val="00FD5E04"/>
    <w:rsid w:val="00FE3D89"/>
    <w:rsid w:val="00FE7BA7"/>
    <w:rsid w:val="00FF1C3D"/>
    <w:rsid w:val="0CA4351B"/>
    <w:rsid w:val="0D555933"/>
    <w:rsid w:val="18EC1F7A"/>
    <w:rsid w:val="1D681DEC"/>
    <w:rsid w:val="1D7F361D"/>
    <w:rsid w:val="268758BC"/>
    <w:rsid w:val="2B5F517B"/>
    <w:rsid w:val="3557428F"/>
    <w:rsid w:val="36B4EBB8"/>
    <w:rsid w:val="37FCFBDD"/>
    <w:rsid w:val="38DF0F19"/>
    <w:rsid w:val="3D407E3C"/>
    <w:rsid w:val="3E347DEF"/>
    <w:rsid w:val="3FCB28EB"/>
    <w:rsid w:val="404A467A"/>
    <w:rsid w:val="40956B0D"/>
    <w:rsid w:val="47FDCDF3"/>
    <w:rsid w:val="4ADF5380"/>
    <w:rsid w:val="4E1E02D7"/>
    <w:rsid w:val="4F204931"/>
    <w:rsid w:val="5588508F"/>
    <w:rsid w:val="5A3E05F0"/>
    <w:rsid w:val="5CFD22CD"/>
    <w:rsid w:val="5D5A6C44"/>
    <w:rsid w:val="5FF9333B"/>
    <w:rsid w:val="693A5856"/>
    <w:rsid w:val="6A2D5246"/>
    <w:rsid w:val="6FAC5075"/>
    <w:rsid w:val="6FBC55A3"/>
    <w:rsid w:val="73A82400"/>
    <w:rsid w:val="748F20DD"/>
    <w:rsid w:val="77A77E82"/>
    <w:rsid w:val="77BE736E"/>
    <w:rsid w:val="79DC2A25"/>
    <w:rsid w:val="7BCD75C6"/>
    <w:rsid w:val="7ECE503D"/>
    <w:rsid w:val="7FD885B6"/>
    <w:rsid w:val="7FFF4223"/>
    <w:rsid w:val="8FEE0B1E"/>
    <w:rsid w:val="967FA9D3"/>
    <w:rsid w:val="BF3DF5C0"/>
    <w:rsid w:val="BFFF9C3A"/>
    <w:rsid w:val="CFDE2680"/>
    <w:rsid w:val="CFFCFB17"/>
    <w:rsid w:val="DB7BA227"/>
    <w:rsid w:val="DBB70F96"/>
    <w:rsid w:val="DCFCB04A"/>
    <w:rsid w:val="DEFFAB64"/>
    <w:rsid w:val="DF3AD55D"/>
    <w:rsid w:val="DFFF1E19"/>
    <w:rsid w:val="E7EB370F"/>
    <w:rsid w:val="EF558545"/>
    <w:rsid w:val="F0FEB611"/>
    <w:rsid w:val="F3E7BB80"/>
    <w:rsid w:val="F51C3534"/>
    <w:rsid w:val="FA5E3F2D"/>
    <w:rsid w:val="FDE5242F"/>
    <w:rsid w:val="FF7F20EE"/>
    <w:rsid w:val="FF9DC738"/>
    <w:rsid w:val="FFDFB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S Serif" w:hAnsi="MS Serif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MS Serif" w:hAnsi="MS Serif" w:eastAsia="宋体" w:cs="Times New Roman"/>
      <w:sz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tLeast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9"/>
    <w:pPr>
      <w:keepNext/>
      <w:keepLines/>
      <w:spacing w:before="260" w:after="260" w:line="416" w:lineRule="atLeast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semiHidden/>
    <w:uiPriority w:val="0"/>
    <w:pPr>
      <w:shd w:val="clear" w:color="auto" w:fill="000080"/>
    </w:pPr>
  </w:style>
  <w:style w:type="paragraph" w:styleId="5">
    <w:name w:val="Balloon Text"/>
    <w:basedOn w:val="1"/>
    <w:link w:val="14"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5"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toc 2"/>
    <w:basedOn w:val="1"/>
    <w:next w:val="1"/>
    <w:unhideWhenUsed/>
    <w:qFormat/>
    <w:uiPriority w:val="39"/>
    <w:pPr>
      <w:widowControl/>
      <w:adjustRightInd/>
      <w:spacing w:after="100" w:line="276" w:lineRule="auto"/>
      <w:ind w:left="220"/>
      <w:textAlignment w:val="auto"/>
    </w:pPr>
    <w:rPr>
      <w:rFonts w:ascii="Calibri" w:hAnsi="Calibri"/>
      <w:sz w:val="22"/>
      <w:szCs w:val="22"/>
    </w:rPr>
  </w:style>
  <w:style w:type="character" w:styleId="11">
    <w:name w:val="page number"/>
    <w:uiPriority w:val="0"/>
  </w:style>
  <w:style w:type="character" w:customStyle="1" w:styleId="12">
    <w:name w:val="标题 1 字符"/>
    <w:link w:val="2"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13">
    <w:name w:val="标题 2 字符"/>
    <w:link w:val="3"/>
    <w:uiPriority w:val="9"/>
    <w:rPr>
      <w:rFonts w:ascii="Cambria" w:hAnsi="Cambria"/>
      <w:b/>
      <w:bCs/>
      <w:sz w:val="32"/>
      <w:szCs w:val="32"/>
    </w:rPr>
  </w:style>
  <w:style w:type="character" w:customStyle="1" w:styleId="14">
    <w:name w:val="批注框文本 字符"/>
    <w:link w:val="5"/>
    <w:uiPriority w:val="0"/>
    <w:rPr>
      <w:sz w:val="18"/>
      <w:szCs w:val="18"/>
    </w:rPr>
  </w:style>
  <w:style w:type="character" w:customStyle="1" w:styleId="15">
    <w:name w:val="页脚 字符"/>
    <w:link w:val="6"/>
    <w:uiPriority w:val="99"/>
    <w:rPr>
      <w:sz w:val="18"/>
      <w:szCs w:val="18"/>
    </w:rPr>
  </w:style>
  <w:style w:type="paragraph" w:customStyle="1" w:styleId="16">
    <w:name w:val="Char Char"/>
    <w:basedOn w:val="4"/>
    <w:uiPriority w:val="0"/>
    <w:pPr>
      <w:adjustRightInd/>
      <w:spacing w:line="240" w:lineRule="auto"/>
      <w:jc w:val="both"/>
      <w:textAlignment w:val="auto"/>
    </w:pPr>
  </w:style>
  <w:style w:type="paragraph" w:styleId="17">
    <w:name w:val="List Paragraph"/>
    <w:basedOn w:val="1"/>
    <w:qFormat/>
    <w:uiPriority w:val="34"/>
    <w:pPr>
      <w:adjustRightInd/>
      <w:spacing w:line="240" w:lineRule="auto"/>
      <w:ind w:firstLine="420" w:firstLineChars="200"/>
      <w:jc w:val="both"/>
      <w:textAlignment w:val="auto"/>
    </w:pPr>
    <w:rPr>
      <w:rFonts w:ascii="Calibri" w:hAnsi="Calibr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13</Pages>
  <Words>4100</Words>
  <Characters>4601</Characters>
  <Lines>34</Lines>
  <Paragraphs>9</Paragraphs>
  <TotalTime>3</TotalTime>
  <ScaleCrop>false</ScaleCrop>
  <LinksUpToDate>false</LinksUpToDate>
  <CharactersWithSpaces>4654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2026-02-13T07:51:00Z</dcterms:created>
  <dc:creator>朱春礼</dc:creator>
  <cp:lastModifiedBy>南风知我意</cp:lastModifiedBy>
  <cp:lastPrinted>2024-02-01T19:41:00Z</cp:lastPrinted>
  <dcterms:modified xsi:type="dcterms:W3CDTF">2026-08-12T01:43:36Z</dcterms:modified>
  <dc:title>附件1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E67A8E63DECE4A58A7D2A028BF295ED8</vt:lpwstr>
  </property>
  <property fmtid="{D5CDD505-2E9C-101B-9397-08002B2CF9AE}" pid="4" name="KSOTemplateDocerSaveRecord">
    <vt:lpwstr>eyJoZGlkIjoiYmZlMDEwYTc5YmQ1ZGIyMWMyMjQyMGZhZWI1MzUwZWEiLCJ1c2VySWQiOiI1MDM0ODY2MjQifQ==</vt:lpwstr>
  </property>
</Properties>
</file>