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中共天津经济技术开发区委员会政策研究室</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8</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1.对涉及经开区发展的全局性、战略性问题开展调查研究，提出思路建议；参与经济发展战略与规划研究。 2.围绕经开区经济发展、产业促进、科技创新、体制机制创新等领域的重大问题开展专题调查研究，提出政策性建议。 3.围绕经开区重点产业，紧盯产业动向，追踪产业前沿，牵头进行产业研究和招商政策制定，并提出投资促进建议。 4.负责组织起草重要综合性文稿。 5.统筹推动经开区全面深化改革工作，承担党委全面深化改革委员会办公室的日常工作。 6.对国家、热点区域有关政策、规划、发展动向进行收集分析整理，对经济发展前沿地区、头部开发区先进经验进行跟踪研究，为党委、管委会决策提供参考建议。 7.贯彻落实本部门全面从严治党主体责任，严格落实基层党建工作任务，发挥党组织战斗堡垒作用和党员先锋模范作用</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中共天津经济技术开发区委员会政策研究室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部门本级（内设3个职能科室）。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中共天津经济技术开发区委员会政策研究室</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3064818.23</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3064818.23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3064818.23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3002743.23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3002743.23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2395169.23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2395169.23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607574.00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607574.00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62075.00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62075.00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62075.00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62075.00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中共天津经济技术开发区委员会政策研究室</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3064818.23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3064818.23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3064818.23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507101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中共天津经济技术开发区委员会政策研究室</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3064818.23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3064818.23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3064818.23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中共天津经济技术开发区委员会政策研究室</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507101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中共天津经济技术开发区委员会政策研究室</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3064818.23</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2395169.23</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669649.00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3064818.23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2395169.23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669649.00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3002743.23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2395169.23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607574.00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2395169.23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2395169.23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607574.00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607574.00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62075.00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62075.00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62075.00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62075.00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3064818.23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中共天津经济技术开发区委员会政策研究室</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3064818.23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2395169.23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2289555.75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105613.48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669649.00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3064818.23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2395169.23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2289555.75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105613.48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669649.00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3002743.23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2395169.23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2289555.75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105613.48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607574.00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2395169.23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2395169.23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2289555.75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105613.48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607574.00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607574.00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62075.00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62075.00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62075.00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62075.00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2289555.75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105613.48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489595.53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41500.56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1111791.78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124243.20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62121.60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77652.00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5435.64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4233.00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418716.00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38119.00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5843.92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2289555.75</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105613.48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中共天津经济技术开发区委员会政策研究室2025年度政府性基金预算财政拨款收入支出决算表为空表。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中共天津经济技术开发区委员会政策研究室2025年度国有资本经营预算财政拨款收入支出决算表为空表。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66308.00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66308.00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中共天津经济技术开发区委员会政策研究室</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669649.00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669649.00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669649.00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669649.00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607574.00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607574.00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607574.00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607574.00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62075.00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62075.00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62075.00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62075.00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3,064,818.23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增加241,001.65元，增长8.53%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人员调入，人员经费增加，因此本年度收支较上年度增加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一般公共预算财政拨款收入3,064,818.23元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一般公共服务支出3,064,818.23元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中共天津经济技术开发区委员会政策研究室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3,064,818.23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增加241,001.65元，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人员调入，人员经费增加，因此本年度收入较上年度增加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一般公共预算财政拨款收入3,064,818.23元，占100.00%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中共天津经济技术开发区委员会政策研究室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3,064,818.23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增加241,001.65元，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人员调入，人员经费增加，因此本年度支出较上年度增加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基本支出2,395,169.23元，占78.15%；项目支出669,649.00元，占21.85%</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3,064,818.23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增加241,001.65元，增长8.53%，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人员调入，人员经费增加，因此本年度收支较上年度增加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一般公共预算财政拨款3,064,818.23元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一般公共服务支出3,064,818.23元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中共天津经济技术开发区委员会政策研究室2025年度一般公共预算财政拨款支出合计3,064,818.23元，占本年支出合计的100.00%。与2024年度相比，一般公共预算财政拨款支出</w:t>
      </w:r>
      <w:r>
        <w:rPr>
          <w:rFonts w:eastAsia="仿宋_GB2312" w:hint="eastAsia"/>
          <w:sz w:val="30"/>
          <w:szCs w:val="30"/>
          <w:highlight w:val="none"/>
          <w:lang w:val="en-US" w:eastAsia="zh-CN"/>
        </w:rPr>
        <w:t xml:space="preserve">增加241,001.65元</w:t>
      </w:r>
      <w:r>
        <w:rPr>
          <w:rFonts w:eastAsia="仿宋_GB2312" w:hint="eastAsia"/>
          <w:sz w:val="30"/>
          <w:szCs w:val="30"/>
          <w:highlight w:val="none"/>
          <w:lang w:val="en-US" w:eastAsia="zh-CN"/>
        </w:rPr>
        <w:t xml:space="preserve">，增长8.53%</w:t>
      </w:r>
      <w:r>
        <w:rPr>
          <w:rFonts w:eastAsia="仿宋_GB2312" w:hint="eastAsia"/>
          <w:sz w:val="30"/>
          <w:szCs w:val="30"/>
          <w:highlight w:val="none"/>
          <w:lang w:val="en-US" w:eastAsia="zh-CN"/>
        </w:rPr>
        <w:t xml:space="preserve">，主要原因是人员调入，人员经费增加，因此本年度支出较上年度增加。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2025年度一般公共预算财政拨款支出3,064,818.23元，主要用于以下方面：</w:t>
      </w:r>
      <w:r>
        <w:rPr>
          <w:rFonts w:eastAsia="仿宋_GB2312" w:hint="eastAsia"/>
          <w:sz w:val="30"/>
          <w:szCs w:val="30"/>
          <w:highlight w:val="none"/>
        </w:rPr>
        <w:t xml:space="preserve">一般公共服务支出（类）支出3,064,818.23元，占100.00%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2025年度一般公共预算财政拨款支出年初预算为3,763,400.00元，支出决算为3,064,818.23元</w:t>
      </w:r>
      <w:r>
        <w:rPr>
          <w:rFonts w:eastAsia="仿宋_GB2312" w:hint="eastAsia"/>
          <w:sz w:val="30"/>
          <w:szCs w:val="30"/>
          <w:highlight w:val="none"/>
          <w:lang w:val="en-US" w:eastAsia="zh-CN"/>
        </w:rPr>
        <w:t xml:space="preserve">，完成年初预算的81.44%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行政运行（项）年初预算为2,763,400.00元，支出决算为2,395,169.23元，完成年初预算的86.67%，决算数小于年初预算数的主要原因是：从严从紧管控一般性支出，优化调整部分公务活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政府办公厅（室）及相关机构事务（款）一般行政管理事务（项）年初预算为1,000,000.00元，支出决算为607,574.00元，完成年初预算的60.76%，决算数小于年初预算数的主要原因是：本年度课题已完成全部研究任务，实施中优化完善研究方案，部分研究内容精简调整，因此整体支出低于预算金额。</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3.一般公共服务支出（类）商贸事务（款）招商引资（项）年初预算为0.00元，支出决算为62,075.00元，决算数大于年初预算数的主要原因是：年中追加招商类项目经费预算并支出。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中共天津经济技术开发区委员会政策研究室2025年度一般公共预算财政拨款基本支出合计2,395,169.23元，与2024年度相比</w:t>
      </w:r>
      <w:r>
        <w:rPr>
          <w:rFonts w:eastAsia="仿宋_GB2312" w:hint="eastAsia"/>
          <w:sz w:val="30"/>
          <w:szCs w:val="30"/>
          <w:highlight w:val="none"/>
          <w:lang w:val="en-US" w:eastAsia="zh-CN"/>
        </w:rPr>
        <w:t xml:space="preserve">增加673,995.65元，</w:t>
      </w:r>
      <w:r>
        <w:rPr>
          <w:rFonts w:eastAsia="仿宋_GB2312" w:hint="eastAsia"/>
          <w:sz w:val="30"/>
          <w:szCs w:val="30"/>
          <w:highlight w:val="none"/>
          <w:lang w:val="en-US" w:eastAsia="zh-CN"/>
        </w:rPr>
        <w:t xml:space="preserve">主要原因是人员调入，人员支出经费增加，因此本年度支出较上年度增加。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人员经费2,289,555.75元，主要包括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公用经费105,613.48元，主要包括</w:t>
      </w:r>
      <w:r>
        <w:rPr>
          <w:rFonts w:eastAsia="仿宋_GB2312" w:hint="eastAsia"/>
          <w:sz w:val="30"/>
          <w:szCs w:val="30"/>
          <w:highlight w:val="none"/>
          <w:lang w:val="en-US" w:eastAsia="zh-CN"/>
        </w:rPr>
        <w:t xml:space="preserve">办公费、印刷费、手续费、水费、邮电费、因公出国（境）费用、维修(护)费、培训费、劳务费、其他交通费用、其他商品和服务支出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66,308.00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66,308.00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支出决算较上年增加66,308.00元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决算数较上年增加的主要原因是因必要的因公出国任务，增加因公出国经费。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66,308.00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66,308.00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支出决算较上年增加66,308.00元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决算数较上年增加的主要原因是因必要的因公出国任务，增加因公出国经费。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中共天津经济技术开发区委员会政策研究室2025年度机关运行经费年初预算113,900.00元，决算数105,613.48元，与年初预算相比</w:t>
      </w:r>
      <w:r>
        <w:rPr>
          <w:rFonts w:eastAsia="仿宋_GB2312" w:hint="eastAsia"/>
          <w:sz w:val="30"/>
          <w:szCs w:val="30"/>
          <w:highlight w:val="none"/>
          <w:lang w:val="en-US" w:eastAsia="zh-CN"/>
        </w:rPr>
        <w:t xml:space="preserve">减少8,286.52元，</w:t>
      </w:r>
      <w:r>
        <w:rPr>
          <w:rFonts w:eastAsia="仿宋_GB2312" w:hint="eastAsia"/>
          <w:sz w:val="30"/>
          <w:szCs w:val="30"/>
          <w:highlight w:val="none"/>
          <w:lang w:val="en-US" w:eastAsia="zh-CN"/>
        </w:rPr>
        <w:t xml:space="preserve">完成年初预算的92.72%；</w:t>
      </w:r>
      <w:r>
        <w:rPr>
          <w:rFonts w:eastAsia="仿宋_GB2312" w:hint="eastAsia"/>
          <w:sz w:val="30"/>
          <w:szCs w:val="30"/>
          <w:highlight w:val="none"/>
          <w:lang w:val="en-US" w:eastAsia="zh-CN"/>
        </w:rPr>
        <w:t xml:space="preserve">比2024年增加21,440.43元</w:t>
      </w:r>
      <w:r>
        <w:rPr>
          <w:rFonts w:eastAsia="仿宋_GB2312" w:hint="eastAsia"/>
          <w:sz w:val="30"/>
          <w:szCs w:val="30"/>
          <w:highlight w:val="none"/>
          <w:lang w:val="en-US" w:eastAsia="zh-CN"/>
        </w:rPr>
        <w:t xml:space="preserve">，增长25.47%</w:t>
      </w:r>
      <w:r>
        <w:rPr>
          <w:rFonts w:eastAsia="仿宋_GB2312" w:hint="eastAsia"/>
          <w:sz w:val="30"/>
          <w:szCs w:val="30"/>
          <w:highlight w:val="none"/>
          <w:lang w:val="en-US" w:eastAsia="zh-CN"/>
        </w:rPr>
        <w:t xml:space="preserve">。主要原因是：本年度从严管控一般性支出，优化公务活动，压减非刚性支出，因此决算数较年初预算数有所减少；同时本年度因人员调入，增加必要的办公经费，因此机关运行经费较上年决算数有所增加。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2025年政府采购支出总额480,000.00元，其中：政府采购货物支出0.00元、政府采购工程支出0.00元、政府采购服务支出480,000.00元。授予中小企业合同金额480,000.00元，占政府采购支出总额的100.00%，其中：授予小微企业合同金额480,000.00元，占政府采购支出总额的100.00%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中共天津经济技术开发区委员会政策研究室2025年度无国有资产占有使用情况。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根据预算绩效管理要求，中共天津经济技术开发区委员会政策研究室2025年度已对1个项目开展绩效自评，涉及全部金额1,000,000.00元，自评结果已随部门决算一并公开。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中共天津经济技术开发区委员会政策研究室不属于乡、镇、街级单位，不涉及公开2025年度教育、医疗卫生、社会保障和就业、住房保障、涉农补贴等民生支出情况。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AD054A41-FB6F-4C5E-9074-83E22922D0EE}"/>
    <w:embedBold r:id="rId2" w:subsetted="1" w:fontKey="{EF58FEE6-4C01-4FF9-8C56-3C29D6CC93CB}"/>
  </w:font>
  <w:font w:name="Cambria">
    <w:panose1 w:val="02040503050406030204"/>
    <w:charset w:val="00"/>
    <w:family w:val="roman"/>
    <w:pitch w:val="default"/>
    <w:sig w:usb0="E00006FF" w:usb1="420024FF" w:usb2="02000000" w:usb3="00000000" w:csb0="2000019F" w:csb1="00000000"/>
    <w:embedRegular r:id="rId3" w:fontKey="{9168AA82-90C8-4E6D-B23C-563F76590450}"/>
  </w:font>
  <w:font w:name="Calibri">
    <w:panose1 w:val="020F0502020204030204"/>
    <w:charset w:val="00"/>
    <w:family w:val="swiss"/>
    <w:pitch w:val="default"/>
    <w:sig w:usb0="E4002EFF" w:usb1="C200247B" w:usb2="00000009" w:usb3="00000000" w:csb0="200001FF" w:csb1="00000000"/>
    <w:embedRegular r:id="rId4" w:fontKey="{1B7F0929-3E1A-4EB7-8B40-3A180AE529CB}"/>
  </w:font>
  <w:font w:name="黑体">
    <w:panose1 w:val="02010609060101010101"/>
    <w:charset w:val="FFFFFF86"/>
    <w:family w:val="auto"/>
    <w:pitch w:val="default"/>
    <w:sig w:usb0="800002BF" w:usb1="38CF7CFA" w:usb2="00000016" w:usb3="00000000" w:csb0="00040001" w:csb1="00000000"/>
    <w:embedRegular r:id="rId5" w:subsetted="1" w:fontKey="{6373B389-EAC7-4478-BD19-D8225613A72E}"/>
    <w:embedBold r:id="rId6" w:subsetted="1" w:fontKey="{6B48B155-22CF-45E9-B380-2D7F1C5C9A43}"/>
  </w:font>
  <w:font w:name="方正小标宋简体">
    <w:altName w:val="黑体"/>
    <w:panose1 w:val="02000000000000000000"/>
    <w:charset w:val="FFFFFF86"/>
    <w:family w:val="auto"/>
    <w:pitch w:val="default"/>
    <w:sig w:usb0="00000001" w:usb1="08000000" w:usb2="00000000" w:usb3="00000000" w:csb0="00040000" w:csb1="00000000"/>
    <w:embedRegular r:id="rId7" w:fontKey="{E9337E39-157A-4513-9CBF-33D0EE501CBA}"/>
    <w:embedBold r:id="rId8" w:fontKey="{F697B3E3-AF47-40EA-9730-E8D995983663}"/>
  </w:font>
  <w:font w:name="仿宋">
    <w:panose1 w:val="02010609060101010101"/>
    <w:charset w:val="FFFFFF86"/>
    <w:family w:val="auto"/>
    <w:pitch w:val="default"/>
    <w:sig w:usb0="800002BF" w:usb1="38CF7CFA" w:usb2="00000016" w:usb3="00000000" w:csb0="00040001" w:csb1="00000000"/>
    <w:embedRegular r:id="rId9" w:subsetted="1" w:fontKey="{11250E7C-989E-49D0-BDEC-424EB9E05210}"/>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9419106C-8A56-4256-9F8F-3D0ECC7344DC}"/>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DBE97060-1F99-4037-87DC-EBD71F8B1B47}"/>
    <w:embedBold r:id="rId12" w:subsetted="1" w:fontKey="{8CCD469D-CADB-4273-901D-57307E0546E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