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中共天津经济技术开发区委员会非公有制经济组织和社会组织党委办公室</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8</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中共天津经济技术开发区委员会非公有制经济组织和社会组织党委办公室</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贯彻落实党中央关于两新组织党建工作的方针政策，贯彻落实党中央和天津市委、滨海新区区委、经开区党委关于两新组织党建工作的决策部署，在履行职责过程中坚持和加强党对两新组织党建工作的集中统一领导，是经开区法定机构的内设部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两新党委办公室主要负责全区非公有制经济组织和社会组织基层党组织建设和党员教育、培训、管理等工作</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中共天津经济技术开发区委员会非公有制经济组织和社会组织党委办公室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部门本级（内设6个职能科室）。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中共天津经济技术开发区委员会非公有制经济组织和社会组织党委办公室</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11274824.41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11274824.41</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11274824.41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11274824.41</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11274824.41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11274824.41</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中共天津经济技术开发区委员会非公有制经济组织和社会组织党委办公室</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11274824.41</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11274824.41</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11274824.41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11274824.41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20131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党委办公厅（室）及相关机构事务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11274824.41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11274824.41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2013101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5764126.60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5764126.60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2013102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5510697.81</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5510697.81</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中共天津经济技术开发区委员会非公有制经济组织和社会组织党委办公室</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11274824.41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11274824.41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11274824.41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578101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中共天津经济技术开发区委员会非公有制经济组织和社会</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11274824.41</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11274824.41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11274824.41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中共天津经济技术开发区委员会非公有制经济组织和社会组织党委办公室</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578101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中共天津经济技术开发区委员会非公有制经济组织和社会</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中共天津经济技术开发区委员会非公有制经济组织和社会组织党委办公室</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11274824.41</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5764126.60</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5510697.81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11274824.41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5764126.60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5510697.81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20131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党委办公厅（室）及相关机构事务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11274824.41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5764126.60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5510697.81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2013101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5764126.60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5764126.60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2013102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5510697.81</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5510697.81</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中共天津经济技术开发区委员会非公有制经济组织和社会组织党委办公室</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11274824.41</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11274824.41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11274824.41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11274824.41</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11274824.41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11274824.41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11274824.41</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11274824.41</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11274824.41</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中共天津经济技术开发区委员会非公有制经济组织和社会组织党委办公室</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11274824.41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5764126.60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5437094.32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327032.28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5510697.81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11274824.41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5764126.60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5437094.32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327032.28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5510697.81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20131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党委办公厅（室）及相关机构事务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11274824.41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5764126.60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5437094.32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327032.28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5510697.81</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2013101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5764126.60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5764126.60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5437094.32</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327032.28</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2013102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5510697.81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5510697.81</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中共天津经济技术开发区委员会非公有制经济组织和社会组织党委办公室</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5437094.32</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327032.28</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1137736.70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77252.10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2547241.61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2973.70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27965.00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292780.80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44818.17</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146390.40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182988.00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48112.99</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13380.81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1116576.00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1820.00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85800.00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33090.32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5437094.32</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327032.28</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中共天津经济技术开发区委员会非公有制经济组织和社会组织党委办公室</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中共天津经济技术开发区委员会非公有制经济组织和社会组织党委办公室2025年度政府性基金预算财政拨款收入支出决算表为空表。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中共天津经济技术开发区委员会非公有制经济组织和社会组织党委办公室</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中共天津经济技术开发区委员会非公有制经济组织和社会组织党委办公室2025年度国有资本经营预算财政拨款收入支出决算表为空表。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中共天津经济技术开发区委员会非公有制经济组织和社会组织党委办公室</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1820.00</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1820.00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中共天津经济技术开发区委员会非公有制经济组织和社会组织党委办公室</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5510697.81</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5510697.81</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5510697.81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5510697.81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20131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党委办公厅（室）及相关机构事务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5510697.81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5510697.81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2013102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5510697.81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5510697.81</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中共天津经济技术开发区委员会非公有制经济组织和社会组织党委办公室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11,274,824.41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减少3,471,870.42元，下降23.54%</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2025年度减少两新组织兼职书记相关支出，故整体收支减少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一般公共预算财政拨款收入11,274,824.41元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一般公共服务支出11,274,824.41元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中共天津经济技术开发区委员会非公有制经济组织和社会组织党委办公室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11,274,824.41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减少3,471,870.42元，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2025年度减少两新组织兼职书记相关支出，故整体收入减少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一般公共预算财政拨款收入11,274,824.41元，占100.00%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中共天津经济技术开发区委员会非公有制经济组织和社会组织党委办公室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11,274,824.41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减少3,471,870.42元，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2025年度减少两新组织兼职书记相关支出，故整体支出减少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基本支出5,764,126.60元，占51.12%；项目支出5,510,697.81元，占48.88%</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中共天津经济技术开发区委员会非公有制经济组织和社会组织党委办公室</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11,274,824.41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减少3,471,870.42元，下降23.54%，</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2025年度减少两新组织兼职书记相关支出，故整体收支减少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一般公共预算财政拨款11,274,824.41元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一般公共服务支出11,274,824.41元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中共天津经济技术开发区委员会非公有制经济组织和社会组织党委办公室2025年度一般公共预算财政拨款支出合计11,274,824.41元，占本年支出合计的100.00%。与2024年度相比，一般公共预算财政拨款支出</w:t>
      </w:r>
      <w:r>
        <w:rPr>
          <w:rFonts w:eastAsia="仿宋_GB2312" w:hint="eastAsia"/>
          <w:sz w:val="30"/>
          <w:szCs w:val="30"/>
          <w:highlight w:val="none"/>
          <w:lang w:val="en-US" w:eastAsia="zh-CN"/>
        </w:rPr>
        <w:t xml:space="preserve">减少3,471,870.42元</w:t>
      </w:r>
      <w:r>
        <w:rPr>
          <w:rFonts w:eastAsia="仿宋_GB2312" w:hint="eastAsia"/>
          <w:sz w:val="30"/>
          <w:szCs w:val="30"/>
          <w:highlight w:val="none"/>
          <w:lang w:val="en-US" w:eastAsia="zh-CN"/>
        </w:rPr>
        <w:t xml:space="preserve">，下降23.54%</w:t>
      </w:r>
      <w:r>
        <w:rPr>
          <w:rFonts w:eastAsia="仿宋_GB2312" w:hint="eastAsia"/>
          <w:sz w:val="30"/>
          <w:szCs w:val="30"/>
          <w:highlight w:val="none"/>
          <w:lang w:val="en-US" w:eastAsia="zh-CN"/>
        </w:rPr>
        <w:t xml:space="preserve">，主要原因是2025年度减少两新组织兼职书记相关支出，故整体支出减少。</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2025年度一般公共预算财政拨款支出11,274,824.41元，主要用于以下方面：</w:t>
      </w:r>
      <w:r>
        <w:rPr>
          <w:rFonts w:eastAsia="仿宋_GB2312" w:hint="eastAsia"/>
          <w:sz w:val="30"/>
          <w:szCs w:val="30"/>
          <w:highlight w:val="none"/>
        </w:rPr>
        <w:t xml:space="preserve">一般公共服务支出（类）支出11,274,824.41元，占100.00%</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2025年度一般公共预算财政拨款支出年初预算为12,580,000.00元，支出决算为11,274,824.41元</w:t>
      </w:r>
      <w:r>
        <w:rPr>
          <w:rFonts w:eastAsia="仿宋_GB2312" w:hint="eastAsia"/>
          <w:sz w:val="30"/>
          <w:szCs w:val="30"/>
          <w:highlight w:val="none"/>
          <w:lang w:val="en-US" w:eastAsia="zh-CN"/>
        </w:rPr>
        <w:t xml:space="preserve">，完成年初预算的89.62%</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党委办公厅（室）及相关机构事务（款）行政运行（项）年初预算为6,750,000.00元，支出决算为5,764,126.60元，完成年初预算的85.39%，决算数小于年初预算数的主要原因是：严格落实过紧日子要求，压减非必要开支，优化调整部分公务活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党委办公厅（室）及相关机构事务（款）一般行政管理事务（项）年初预算为5,830,000.00元，支出决算为5,510,697.81元，完成年初预算的94.52%，决算数小于年初预算数的主要原因是：部分项目工作内容未达到合同约定付款条件，项目决算支出较年初预算数减少。</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中共天津经济技术开发区委员会非公有制经济组织和社会组织党委办公室2025年度一般公共预算财政拨款基本支出合计5,764,126.60元，与2024年度相比</w:t>
      </w:r>
      <w:r>
        <w:rPr>
          <w:rFonts w:eastAsia="仿宋_GB2312" w:hint="eastAsia"/>
          <w:sz w:val="30"/>
          <w:szCs w:val="30"/>
          <w:highlight w:val="none"/>
          <w:lang w:val="en-US" w:eastAsia="zh-CN"/>
        </w:rPr>
        <w:t xml:space="preserve">减少640,705.71元，</w:t>
      </w:r>
      <w:r>
        <w:rPr>
          <w:rFonts w:eastAsia="仿宋_GB2312" w:hint="eastAsia"/>
          <w:sz w:val="30"/>
          <w:szCs w:val="30"/>
          <w:highlight w:val="none"/>
          <w:lang w:val="en-US" w:eastAsia="zh-CN"/>
        </w:rPr>
        <w:t xml:space="preserve">主要原因是人员减少，故人员相关经费减少。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人员经费5,437,094.32元，主要包括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公用经费327,032.28元，主要包括</w:t>
      </w:r>
      <w:r>
        <w:rPr>
          <w:rFonts w:eastAsia="仿宋_GB2312" w:hint="eastAsia"/>
          <w:sz w:val="30"/>
          <w:szCs w:val="30"/>
          <w:highlight w:val="none"/>
          <w:lang w:val="en-US" w:eastAsia="zh-CN"/>
        </w:rPr>
        <w:t xml:space="preserve">办公费、印刷费、手续费、水费、邮电费、差旅费、维修(护)费、公务接待费、其他交通费用、其他商品和服务支出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中共天津经济技术开发区委员会非公有制经济组织和社会组织党委办公室2025年度无政府性基金预算财政拨款收入、支出和结转结余。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中共天津经济技术开发区委员会非公有制经济组织和社会组织党委办公室2025年度无国有资本经营预算财政拨款收入、支出和结转结余。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1,820.00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1,820.00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支出决算较上年增加1,820.00元</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决算数较上年增加的主要原因是较上年增加必要的公务接待任务，公务接待费支出较上年增加。</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1,820.00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1,820.00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支出决算较上年增加1,820.00元</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决算数与预算数持平的主要原因是严格按照预算执行；</w:t>
      </w:r>
      <w:r>
        <w:rPr>
          <w:rFonts w:eastAsia="仿宋_GB2312" w:hint="eastAsia"/>
          <w:sz w:val="30"/>
          <w:szCs w:val="30"/>
          <w:highlight w:val="none"/>
          <w:lang w:val="en-US" w:eastAsia="zh-CN"/>
        </w:rPr>
        <w:t xml:space="preserve">决算数较上年增加的主要原因是较上年增加必要的公务接待任务，公务接待费较上年增加。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33</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机关运行经费是指行政单位和参照公务员法管理的事业单位使用财政拨款安排的基本支出中的日常公用经费支出，中共天津经济技术开发区委员会非公有制经济组织和社会组织党委办公室2025年度机关运行经费年初预算363,100.00元，决算数327,032.28元，与年初预算相比</w:t>
      </w:r>
      <w:r>
        <w:rPr>
          <w:rFonts w:eastAsia="仿宋_GB2312" w:hint="eastAsia"/>
          <w:sz w:val="30"/>
          <w:szCs w:val="30"/>
          <w:highlight w:val="none"/>
          <w:lang w:val="en-US" w:eastAsia="zh-CN"/>
        </w:rPr>
        <w:t xml:space="preserve">减少36,067.72元，</w:t>
      </w:r>
      <w:r>
        <w:rPr>
          <w:rFonts w:eastAsia="仿宋_GB2312" w:hint="eastAsia"/>
          <w:sz w:val="30"/>
          <w:szCs w:val="30"/>
          <w:highlight w:val="none"/>
          <w:lang w:val="en-US" w:eastAsia="zh-CN"/>
        </w:rPr>
        <w:t xml:space="preserve">完成年初预算的90.07%；</w:t>
      </w:r>
      <w:r>
        <w:rPr>
          <w:rFonts w:eastAsia="仿宋_GB2312" w:hint="eastAsia"/>
          <w:sz w:val="30"/>
          <w:szCs w:val="30"/>
          <w:highlight w:val="none"/>
          <w:lang w:val="en-US" w:eastAsia="zh-CN"/>
        </w:rPr>
        <w:t xml:space="preserve">比2024年增加25,012.28元</w:t>
      </w:r>
      <w:r>
        <w:rPr>
          <w:rFonts w:eastAsia="仿宋_GB2312" w:hint="eastAsia"/>
          <w:sz w:val="30"/>
          <w:szCs w:val="30"/>
          <w:highlight w:val="none"/>
          <w:lang w:val="en-US" w:eastAsia="zh-CN"/>
        </w:rPr>
        <w:t xml:space="preserve">，增长8.28%</w:t>
      </w:r>
      <w:r>
        <w:rPr>
          <w:rFonts w:eastAsia="仿宋_GB2312" w:hint="eastAsia"/>
          <w:sz w:val="30"/>
          <w:szCs w:val="30"/>
          <w:highlight w:val="none"/>
          <w:lang w:val="en-US" w:eastAsia="zh-CN"/>
        </w:rPr>
        <w:t xml:space="preserve">。主要原因是：本年度从严管控一般性支出，优化公务活动，压减非刚性支出，因此决算数较年初预算数有所减少；同时按照政府收支分类科目要求，本年度公用经费列支残保金，因此较上年决算数有所增加。</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中共天津经济技术开发区委员会非公有制经济组织和社会组织党委办公室2025年政府采购支出总额4,665,258.50元，其中：政府采购货物支出0.00元、政府采购工程支出0.00元、政府采购服务支出4,665,258.50元。授予中小企业合同金额4,665,258.50元，占政府采购支出总额的100.00%，其中：授予小微企业合同金额2,332,658.50元，占政府采购支出总额的50.00%；货物采购授予中小企业合同金额占货物支出金额的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截至2025年12月31日，中共天津经济技术开发区委员会非公有制经济组织和社会组织党委办公室共有车辆0辆</w:t>
      </w:r>
      <w:r>
        <w:rPr>
          <w:rFonts w:eastAsia="仿宋_GB2312" w:hint="eastAsia"/>
          <w:sz w:val="30"/>
          <w:szCs w:val="30"/>
          <w:highlight w:val="none"/>
          <w:lang w:val="en-US" w:eastAsia="zh-CN"/>
        </w:rPr>
        <w:t xml:space="preserve">。单价100万元以上的设备1台（套）。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根据预算绩效管理要求，中共天津经济技术开发区委员会非公有制经济组织和社会组织党委办公室已对2个2025年度区级项目开展绩效自评，涉及金额5,830,000.00元，自评结果已随部门决算一并公开。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中共天津经济技术开发区委员会非公有制经济组织和社会组织党委办公室不属于乡、镇、街级单位，不涉及公开2025年度教育、医疗卫生、社会保障和就业、住房保障、涉农补贴等民生支出情况。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5EE5C2CE-DF62-4E94-9836-E907D2F198F9}"/>
    <w:embedBold r:id="rId2" w:subsetted="1" w:fontKey="{3FA1E9D0-9305-41EB-A3F1-CF9323F6C372}"/>
  </w:font>
  <w:font w:name="Cambria">
    <w:panose1 w:val="02040503050406030204"/>
    <w:charset w:val="00"/>
    <w:family w:val="roman"/>
    <w:pitch w:val="default"/>
    <w:sig w:usb0="E00006FF" w:usb1="420024FF" w:usb2="02000000" w:usb3="00000000" w:csb0="2000019F" w:csb1="00000000"/>
    <w:embedRegular r:id="rId3" w:fontKey="{27111177-AC6B-4710-AA3F-237A63B36346}"/>
  </w:font>
  <w:font w:name="Calibri">
    <w:panose1 w:val="020F0502020204030204"/>
    <w:charset w:val="00"/>
    <w:family w:val="swiss"/>
    <w:pitch w:val="default"/>
    <w:sig w:usb0="E4002EFF" w:usb1="C200247B" w:usb2="00000009" w:usb3="00000000" w:csb0="200001FF" w:csb1="00000000"/>
    <w:embedRegular r:id="rId4" w:fontKey="{4ECC969A-8F75-44D3-8454-935693555FE5}"/>
  </w:font>
  <w:font w:name="黑体">
    <w:panose1 w:val="02010609060101010101"/>
    <w:charset w:val="FFFFFF86"/>
    <w:family w:val="auto"/>
    <w:pitch w:val="default"/>
    <w:sig w:usb0="800002BF" w:usb1="38CF7CFA" w:usb2="00000016" w:usb3="00000000" w:csb0="00040001" w:csb1="00000000"/>
    <w:embedRegular r:id="rId5" w:subsetted="1" w:fontKey="{EA802E69-21FC-4C4A-84A2-C189AE2AD366}"/>
    <w:embedBold r:id="rId6" w:subsetted="1" w:fontKey="{90202496-81B7-48E7-BF2C-A8D2ED7B44FC}"/>
  </w:font>
  <w:font w:name="方正小标宋简体">
    <w:altName w:val="黑体"/>
    <w:panose1 w:val="02000000000000000000"/>
    <w:charset w:val="FFFFFF86"/>
    <w:family w:val="auto"/>
    <w:pitch w:val="default"/>
    <w:sig w:usb0="00000001" w:usb1="08000000" w:usb2="00000000" w:usb3="00000000" w:csb0="00040000" w:csb1="00000000"/>
    <w:embedRegular r:id="rId7" w:fontKey="{2898C239-7B4F-4E6D-85C4-FE702A6A27EB}"/>
    <w:embedBold r:id="rId8" w:fontKey="{8180D48B-BB58-4DA4-88BF-68C03CA47BF3}"/>
  </w:font>
  <w:font w:name="仿宋">
    <w:panose1 w:val="02010609060101010101"/>
    <w:charset w:val="FFFFFF86"/>
    <w:family w:val="auto"/>
    <w:pitch w:val="default"/>
    <w:sig w:usb0="800002BF" w:usb1="38CF7CFA" w:usb2="00000016" w:usb3="00000000" w:csb0="00040001" w:csb1="00000000"/>
    <w:embedRegular r:id="rId9" w:subsetted="1" w:fontKey="{556140F3-A38F-4A55-9F12-E84345B1F970}"/>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DF809E62-DE1D-4F4B-935F-3D6E2573F800}"/>
  </w:font>
  <w:font w:name="方正楷体_GB2312">
    <w:altName w:val="宋体"/>
    <w:panose1 w:val="02000000000000000000"/>
    <w:charset w:val="FFFFFF86"/>
    <w:family w:val="auto"/>
    <w:pitch w:val="default"/>
    <w:sig w:usb0="A00002BF" w:usb1="184F6CFA" w:usb2="00000012" w:usb3="00000000" w:csb0="00040001" w:csb1="00000000"/>
    <w:embedRegular r:id="rId11" w:fontKey="{5D1A2DED-4D98-40A6-86C7-61B55B90FDD4}"/>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CDED5167-EFD8-4C33-AE43-F972FC3ABB2A}"/>
    <w:embedBold r:id="rId13" w:subsetted="1" w:fontKey="{2C09BEC9-73BB-4960-BECC-6AB4787E2925}"/>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25</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28</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