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天津经济技术开发区中区管理办公室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10</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（一）负责中区日常事务管理，做好驻区单位协调、联络、对接及后勤服务保障等工作。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（二）负责中区企业服务和招商服务工作。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（三）负责配合职能延伸部门做好属地信访稳定与综合治理工作。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（四）负责本领域安全生产管理工作。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（五）贯彻落实本单位全面从严治党主体责任，严格落实基层党建工作任务，发挥党组织战斗堡垒作用和党员先锋模范作用</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部门本级（内设3个职能科室）。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天津经济技术开发区中区管理办公室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18138741.15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6238741.15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200000000.00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1900000.00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200000000.00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218138741.15</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6238741.15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6238741.15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6238741.15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6238741.15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2722756.25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2722756.25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3515984.90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3515984.90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城乡社区公共设施</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其他城乡社区公共设施支出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消防救援事务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消防应急救援</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天津经济技术开发区中区管理办公室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218138741.15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218138741.15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18138741.15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200000000.00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684101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天津经济技术开发区中区管理办公室</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218138741.15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218138741.15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18138741.15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200000000.00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天津经济技术开发区中区管理办公室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684101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天津经济技术开发区中区管理办公室</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218138741.15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2722756.25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215415984.90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6238741.15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2722756.25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3515984.90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6238741.15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2722756.25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3515984.90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2722756.25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2722756.25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3515984.90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3515984.90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其他城乡社区公共设施支出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消防救援事务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消防应急救援</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18138741.15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6238741.15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6238741.15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200000000.00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200000000.00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200000000.00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218138741.15</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218138741.15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18138741.15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200000000.00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218138741.15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218138741.15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18138741.15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200000000.00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天津经济技术开发区中区管理办公室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18138741.15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2722756.25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2603585.21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119171.04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15415984.90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6238741.15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2722756.25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2603585.21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119171.04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3515984.90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6238741.15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2722756.25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2603585.21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119171.04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3515984.90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2722756.25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2722756.25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2603585.21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119171.04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3515984.90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3515984.90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城乡社区公共设施</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其他城乡社区公共设施支出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消防救援事务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消防应急救援</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2603585.21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119171.04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563514.41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9990.00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1169899.20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143808.00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71904.00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89880.00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39957.00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6291.60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558288.00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16191.20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35880.00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14532.84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2603585.21</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119171.04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200000000.00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200000000.00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200000000.00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2290403</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天津经济技术开发区中区管理办公室2025年度国有资本经营预算财政拨款收入支出决算表为空表。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天津经济技术开发区中区管理办公室2025年财政拨款“三公”经费支出决算表为空表。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天津经济技术开发区中区管理办公室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215415984.90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15415984.90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200000000.00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3515984.90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城乡社区公共设施</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其他城乡社区公共设施支出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消防救援事务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消防应急救援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其他政府性基金债务收入安排的支出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218,138,741.15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增加218,138,741.15元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本部门为新组建单位，无上年可比基数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一般公共预算财政拨款收入18,138,741.15元、政府性基金预算财政拨款收入200,000,000.00元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一般公共服务支出6,238,741.15元、城乡社区支出10,000,000.00元、灾害防治及应急管理支出1,900,000.00元、其他支出200,000,000.00元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218,138,741.15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增加218,138,741.15元，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本部门为新组建单位，无上年可比基数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一般公共预算财政拨款收入18,138,741.15元，占8.32%；政府性基金预算财政拨款收入200,000,000.00元，占91.68%</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218,138,741.15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增加218,138,741.15元，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本部门为新组建单位，无上年可比基数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基本支出2,722,756.25元，占1.25%；项目支出215,415,984.90元，占98.75%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218,138,741.15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增加218,138,741.15元，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本部门为新组建单位，无上年可比基数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一般公共预算财政拨款18,138,741.15元、政府性基金预算财政拨款200,000,000.00元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一般公共服务支出6,238,741.15元、城乡社区支出10,000,000.00元、灾害防治及应急管理支出1,900,000.00元、其他支出200,000,000.00元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天津经济技术开发区中区管理办公室2025年度一般公共预算财政拨款支出合计18,138,741.15元，占本年支出合计的8.32%。与2024年度相比，一般公共预算财政拨款支出</w:t>
      </w:r>
      <w:r>
        <w:rPr>
          <w:rFonts w:eastAsia="仿宋_GB2312" w:hint="eastAsia"/>
          <w:sz w:val="30"/>
          <w:szCs w:val="30"/>
          <w:highlight w:val="none"/>
          <w:lang w:val="en-US" w:eastAsia="zh-CN"/>
        </w:rPr>
        <w:t xml:space="preserve">增加18,138,741.15元</w:t>
      </w:r>
      <w:r>
        <w:rPr>
          <w:rFonts w:eastAsia="仿宋_GB2312" w:hint="eastAsia"/>
          <w:sz w:val="30"/>
          <w:szCs w:val="30"/>
          <w:highlight w:val="none"/>
          <w:lang w:val="en-US" w:eastAsia="zh-CN"/>
        </w:rPr>
        <w:t xml:space="preserve">，主要原因是本部门为新组建单位，无上年可比基数。</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2025年度一般公共预算财政拨款支出18,138,741.15元，主要用于以下方面：</w:t>
      </w:r>
      <w:r>
        <w:rPr>
          <w:rFonts w:eastAsia="仿宋_GB2312" w:hint="eastAsia"/>
          <w:sz w:val="30"/>
          <w:szCs w:val="30"/>
          <w:highlight w:val="none"/>
        </w:rPr>
        <w:t xml:space="preserve">一般公共服务支出（类）支出6,238,741.15元，占34.40%，城乡社区支出（类）支出10,000,000.00元，占55.13%，灾害防治及应急管理支出（类）支出1,900,000.00元，占10.47%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2025年度一般公共预算财政拨款支出年初预算为16,993,200.00元，支出决算为18,138,741.15元</w:t>
      </w:r>
      <w:r>
        <w:rPr>
          <w:rFonts w:eastAsia="仿宋_GB2312" w:hint="eastAsia"/>
          <w:sz w:val="30"/>
          <w:szCs w:val="30"/>
          <w:highlight w:val="none"/>
          <w:lang w:val="en-US" w:eastAsia="zh-CN"/>
        </w:rPr>
        <w:t xml:space="preserve">，完成年初预算的106.74%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行政运行（项）年初预算为3,293,200.00元，支出决算为2,722,756.25元，完成年初预算的82.68%，决算数小于年初预算数的主要原因是：严控支出，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政府办公厅（室）及相关机构事务（款）一般行政管理事务（项）年初预算为3,700,000.00元，支出决算为3,515,984.90元，完成年初预算的95.03%，决算数小于年初预算数的主要原因是：部分项目未达到付款条件，整体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城乡社区公共设施（款）其他城乡社区公共设施支出（项）年初预算为10,000,000.00元，支出决算为10,000,000.00元，完成年初预算的100.00%，决算数与年初预算数持平的主要原因是：严格按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灾害防治及应急管理支出（类）消防救援事务（款）消防应急救援（项）年初预算为0.00元，支出决算为1,900,000.00元，决算数大于年初预算数的主要原因是：追加预算，用于中区轻纺大道特勤消防站驻区单位有关项目资金预算并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天津经济技术开发区中区管理办公室2025年度一般公共预算财政拨款基本支出合计2,722,756.25元，与2024年度相比</w:t>
      </w:r>
      <w:r>
        <w:rPr>
          <w:rFonts w:eastAsia="仿宋_GB2312" w:hint="eastAsia"/>
          <w:sz w:val="30"/>
          <w:szCs w:val="30"/>
          <w:highlight w:val="none"/>
          <w:lang w:val="en-US" w:eastAsia="zh-CN"/>
        </w:rPr>
        <w:t xml:space="preserve">增加2,722,756.25元，</w:t>
      </w:r>
      <w:r>
        <w:rPr>
          <w:rFonts w:eastAsia="仿宋_GB2312" w:hint="eastAsia"/>
          <w:sz w:val="30"/>
          <w:szCs w:val="30"/>
          <w:highlight w:val="none"/>
          <w:lang w:val="en-US" w:eastAsia="zh-CN"/>
        </w:rPr>
        <w:t xml:space="preserve">主要原因是本部门为新组建单位，无上年可比基数。</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人员经费2,603,585.21元，主要包括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公用经费119,171.04元，主要包括</w:t>
      </w:r>
      <w:r>
        <w:rPr>
          <w:rFonts w:eastAsia="仿宋_GB2312" w:hint="eastAsia"/>
          <w:sz w:val="30"/>
          <w:szCs w:val="30"/>
          <w:highlight w:val="none"/>
          <w:lang w:val="en-US" w:eastAsia="zh-CN"/>
        </w:rPr>
        <w:t xml:space="preserve">办公费、手续费、差旅费、培训费、委托业务费、其他交通费用、其他商品和服务支出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楷体" w:hint="eastAsia"/>
          <w:b/>
          <w:bCs/>
          <w:sz w:val="30"/>
          <w:szCs w:val="30"/>
          <w:highlight w:val="none"/>
          <w:lang w:val="en-US" w:eastAsia="zh-CN"/>
        </w:rPr>
      </w:pPr>
      <w:r>
        <w:rPr>
          <w:rFonts w:ascii="楷体" w:eastAsia="楷体" w:hAnsi="楷体" w:cs="楷体" w:hint="eastAsia"/>
          <w:b/>
          <w:bCs/>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天津经济技术开发区中区管理办公室2025年度政府性基金预算财政拨款年初结转和结余0.00元，收入200,000,000.00元，支出200,000,000.00元，年末结转和结余0.00元。与2024年度相比，政府性基金预算财政拨款支出</w:t>
      </w:r>
      <w:r>
        <w:rPr>
          <w:rFonts w:eastAsia="仿宋_GB2312" w:hint="eastAsia"/>
          <w:sz w:val="30"/>
          <w:szCs w:val="30"/>
          <w:highlight w:val="none"/>
          <w:lang w:val="en-US" w:eastAsia="zh-CN"/>
        </w:rPr>
        <w:t xml:space="preserve">增加200,000,000.00元，</w:t>
      </w:r>
      <w:r>
        <w:rPr>
          <w:rFonts w:eastAsia="仿宋_GB2312" w:hint="eastAsia"/>
          <w:sz w:val="30"/>
          <w:szCs w:val="30"/>
          <w:highlight w:val="none"/>
          <w:lang w:val="en-US" w:eastAsia="zh-CN"/>
        </w:rPr>
        <w:t xml:space="preserve">主要原因是本部门为新组建单位，无上年可比基数。</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2025年度政府性基金预算财政拨款支出200,000,000.00元，主要用于以下方面：</w:t>
      </w:r>
      <w:r>
        <w:rPr>
          <w:rFonts w:eastAsia="仿宋_GB2312" w:hint="eastAsia"/>
          <w:sz w:val="28"/>
          <w:szCs w:val="28"/>
          <w:highlight w:val="none"/>
        </w:rPr>
        <w:t xml:space="preserve">其他支出（类）支出200,000,000.00元，占100.00%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2025年度政府性基金预算财政拨款支出年初预算为0.00元，支出决算为200,000,000.00元</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其他支出（类）其他政府性基金及对应专项债务收入安排的支出（款）其他政府性基金债务收入安排的支出（项）年初预算为0.00元，支出决算为200,000,000.00元，决算数大于年初预算数的主要原因是：追加预算，用于中区二期蓝领公寓建设工程项目资金预算并支出。</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中区管理办公室2025年度机关运行经费年初预算130,300.00元，决算数119,171.04元，与年初预算相比</w:t>
      </w:r>
      <w:r>
        <w:rPr>
          <w:rFonts w:eastAsia="仿宋_GB2312" w:hint="eastAsia"/>
          <w:sz w:val="30"/>
          <w:szCs w:val="30"/>
          <w:highlight w:val="none"/>
          <w:lang w:val="en-US" w:eastAsia="zh-CN"/>
        </w:rPr>
        <w:t xml:space="preserve">减少11,128.96元，</w:t>
      </w:r>
      <w:r>
        <w:rPr>
          <w:rFonts w:eastAsia="仿宋_GB2312" w:hint="eastAsia"/>
          <w:sz w:val="30"/>
          <w:szCs w:val="30"/>
          <w:highlight w:val="none"/>
          <w:lang w:val="en-US" w:eastAsia="zh-CN"/>
        </w:rPr>
        <w:t xml:space="preserve">完成年初预算的91.46%；</w:t>
      </w:r>
      <w:r>
        <w:rPr>
          <w:rFonts w:eastAsia="仿宋_GB2312" w:hint="eastAsia"/>
          <w:sz w:val="30"/>
          <w:szCs w:val="30"/>
          <w:highlight w:val="none"/>
          <w:lang w:val="en-US" w:eastAsia="zh-CN"/>
        </w:rPr>
        <w:t xml:space="preserve">比2024年增加119,171.04元</w:t>
      </w:r>
      <w:r>
        <w:rPr>
          <w:rFonts w:eastAsia="仿宋_GB2312" w:hint="eastAsia"/>
          <w:sz w:val="30"/>
          <w:szCs w:val="30"/>
          <w:highlight w:val="none"/>
          <w:lang w:val="en-US" w:eastAsia="zh-CN"/>
        </w:rPr>
        <w:t xml:space="preserve">。主要原因是：落实过紧日子要求，压减非刚性支出，实际支出较年初预算减少；同时因本部门为新组建单位，无上年可比基数。</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政府采购支出总额872,359.99元，其中：政府采购货物支出0.00元、政府采购工程支出0.00元、政府采购服务支出872,359.99元。授予中小企业合同金额872,359.99元，占政府采购支出总额的100.00%，其中：授予小微企业合同金额872,359.99元，占政府采购支出总额的100.00%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天津经济技术开发区中区管理办公室2025年度无国有资产占有使用情况。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根据预算绩效管理要求,天津经济技术开发区中区管理办公室已对 6个2025年度区级项目开展绩效自评,涉及金额218,893,200.00元,自评结果已随部门决算一并公开。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天津经济技术开发区中区管理办公室不属于乡、镇、街级单位，不涉及公开2025年度教育、医疗卫生、社会保障和就业、住房保障、涉农补贴等民生支出情况。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0404F09-4E44-415E-AD67-1F30B202CB1D}"/>
    <w:embedBold r:id="rId2" w:subsetted="1" w:fontKey="{4F7F0662-A9A9-40D5-895C-FF71AF25AFA1}"/>
  </w:font>
  <w:font w:name="Cambria">
    <w:panose1 w:val="02040503050406030204"/>
    <w:charset w:val="00"/>
    <w:family w:val="roman"/>
    <w:pitch w:val="default"/>
    <w:sig w:usb0="E00006FF" w:usb1="420024FF" w:usb2="02000000" w:usb3="00000000" w:csb0="2000019F" w:csb1="00000000"/>
    <w:embedRegular r:id="rId3" w:fontKey="{770DCC4C-13B0-4045-90BA-37CEE47B6149}"/>
  </w:font>
  <w:font w:name="Calibri">
    <w:panose1 w:val="020F0502020204030204"/>
    <w:charset w:val="00"/>
    <w:family w:val="swiss"/>
    <w:pitch w:val="default"/>
    <w:sig w:usb0="E4002EFF" w:usb1="C200247B" w:usb2="00000009" w:usb3="00000000" w:csb0="200001FF" w:csb1="00000000"/>
    <w:embedRegular r:id="rId4" w:fontKey="{DC9DFE52-CD10-4850-86B3-11D1719F9380}"/>
  </w:font>
  <w:font w:name="黑体">
    <w:panose1 w:val="02010609060101010101"/>
    <w:charset w:val="FFFFFF86"/>
    <w:family w:val="auto"/>
    <w:pitch w:val="default"/>
    <w:sig w:usb0="800002BF" w:usb1="38CF7CFA" w:usb2="00000016" w:usb3="00000000" w:csb0="00040001" w:csb1="00000000"/>
    <w:embedRegular r:id="rId5" w:subsetted="1" w:fontKey="{7C859218-6569-4B58-AA4F-549EC98BF999}"/>
    <w:embedBold r:id="rId6" w:subsetted="1" w:fontKey="{EEC5D96E-C39D-49CA-B70F-725D661BD015}"/>
  </w:font>
  <w:font w:name="方正小标宋简体">
    <w:altName w:val="黑体"/>
    <w:panose1 w:val="02000000000000000000"/>
    <w:charset w:val="FFFFFF86"/>
    <w:family w:val="auto"/>
    <w:pitch w:val="default"/>
    <w:sig w:usb0="00000001" w:usb1="08000000" w:usb2="00000000" w:usb3="00000000" w:csb0="00040000" w:csb1="00000000"/>
    <w:embedRegular r:id="rId7" w:fontKey="{39639C1B-3F41-4C18-93A9-922DB00DAC1B}"/>
    <w:embedBold r:id="rId8" w:fontKey="{012C120E-C671-4ABA-8709-DB3841C5ED73}"/>
  </w:font>
  <w:font w:name="仿宋">
    <w:panose1 w:val="02010609060101010101"/>
    <w:charset w:val="FFFFFF86"/>
    <w:family w:val="auto"/>
    <w:pitch w:val="default"/>
    <w:sig w:usb0="800002BF" w:usb1="38CF7CFA" w:usb2="00000016" w:usb3="00000000" w:csb0="00040001" w:csb1="00000000"/>
    <w:embedRegular r:id="rId9" w:subsetted="1" w:fontKey="{A136DA97-7E2A-44BB-95BC-A51467E13E08}"/>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7E7DE300-F71D-48AA-B447-A613B2227A7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DCDCACE2-FB72-454B-9043-063FA6DE684A}"/>
    <w:embedBold r:id="rId12" w:subsetted="1" w:fontKey="{38899BD8-BBED-4FBA-9C5D-6402B383DECE}"/>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32</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