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天津经济技术开发区产融发展促进局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贯彻执行国家、天津市、滨海新区有关招商引资、经济技术协作的方针、政策，负责金融业相关领域的招商引资工作、产业促进、行业管理等工作，负责金融业整体规划、政策研究、行业研究、创新研究等工作，推动金融政策、功能、产业、渠道、载体、服务等方面建设工作。（二）落实党委、管委会招商引资整体工作部署，制定招商引资工作计划，分解和落实目标任务。（三）负责开发和吸引符合我区产业发展的高质量项目，完成党委、管委会下达的各项招商指标。（四）负责开拓并维护政府、企业、中介等各项招商渠道，与国内外咨询机构建立业务联系。（五）负责了解掌握国家、天津市、滨海新区的相关政策和经济动态，加强产业发展动态分析，为党委、管委会招商决策提供信息参考。（六）负责组织开展招商相关的信息收集、对外联络、项目开发、项目洽谈、合作协议签订等各类招商引资工作。（七）负责协调职能部门和有关单位，做好招商项目的跟踪服务工作，推动投产运营。（八）负责协调推动区内企业上市工作，推进多层次资本市场建设。（九）负责国家监管的金融机构属地服务工作，负责地方监管金融机构属地管理服务工作，监测评估区内金融运行情况。（十）负责组织开展金融业合作交流工作，促进投融资对接工作，配合有关部门推进社会信用体系建设。（十一）指导金融服务中心工作，保障区域金融秩序稳定。（十二）指导处置非法集资工作。（十三）负责本领域安全生产管理，从行业规划、产业政策、法规标准等方面加强本领域安全生产工作，指导督促企业加强安全管理。（十四）贯彻落实本单位全面从严治党主体责任，严格落实基层党建工作任务，发挥党组织战斗堡垒作用和党员先锋模范作用。（十五）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天津经济技术开发区产融发展促进局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部门本级（内设5个职能科室）。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天津经济技术开发区产融发展促进局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42149127.84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6669042.24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0.34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6000000.00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29480085.60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42149128.18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42149127.84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0.34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42149128.18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42149128.18</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42149128.18</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42149127.84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0.34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6669042.58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6669042.24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0.34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6669042.58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6669042.24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0.34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4278809.58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4278809.24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0.34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招商引资</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2390233.00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2390233.00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商业服务业等支出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21606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涉外发展服务支出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2160699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其他涉外发展服务支出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金融支出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29480085.60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29480085.60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21701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金融部门行政支出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29480085.60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29480085.60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2170102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29480085.60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29480085.60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天津经济技术开发区产融发展促进局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42149128.18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42149128.18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42149127.84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0.34</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324101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天津经济技术开发区产融发展促进局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42149128.18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42149128.18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42149127.84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0.34</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天津经济技术开发区产融发展促进局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324101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天津经济技术开发区产融发展促进局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42149127.84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4278809.24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37870318.60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6669042.24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4278809.24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2390233.00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6669042.24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4278809.24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2390233.00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4278809.24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4278809.24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招商引资</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2390233.00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2390233.00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商业服务业等支出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21606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涉外发展服务支出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2160699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其他涉外发展服务支出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金融支出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29480085.60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29480085.60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21701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金融部门行政支出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29480085.60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29480085.60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2170102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29480085.60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29480085.60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42149127.84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6669042.24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6669042.24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6000000.00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6000000.00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29480085.60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29480085.60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42149127.84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42149127.84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42149127.84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42149127.84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42149127.84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42149127.84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天津经济技术开发区产融发展促进局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42149127.84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4278809.24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3997277.68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281531.56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37870318.60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6669042.24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4278809.24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3997277.68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281531.56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2390233.00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6669042.24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4278809.24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3997277.68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281531.56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2390233.00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4278809.24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4278809.24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3997277.68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281531.56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招商引资</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2390233.00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2390233.00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商业服务业等支出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21606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涉外发展服务支出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2160699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其他涉外发展服务支出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金融支出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29480085.60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29480085.60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21701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金融部门行政支出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29480085.60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29480085.60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2170102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29480085.60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29480085.60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3997277.68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281531.56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808692.93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46382.76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2043391.63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8850.00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205670.40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36300.00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102835.20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128544.00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10283.52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697860.00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18580.00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17123.80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3997277.68</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281531.56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天津经济技术开发区产融发展促进局2025年度政府性基金预算财政拨款收入支出决算表为空表。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天津经济技术开发区产融发展促进局2025年度国有资本经营预算财政拨款收入支出决算表为空表。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181337.76</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181337.76</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天津经济技术开发区产融发展促进局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37870318.60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37870318.60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2390233.00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2390233.00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商贸事务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2390233.00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2390233.00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招商引资</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2390233.00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2390233.00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商业服务业等支出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21606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涉外发展服务支出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2160699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其他涉外发展服务支出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金融支出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29480085.60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29480085.60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21701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金融部门行政支出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29480085.60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29480085.60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2170102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29480085.60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29480085.60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42,149,128.18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减少864,775,578.50元，下降95.35%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本年度优化现代服务业产业扶持资金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一般公共预算财政拨款收入42,149,127.84元、其他收入0.34元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一般公共服务支出6,669,042.24元、商业服务业等支出6,000,000.00元、金融支出29,480,085.60元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天津经济技术开发区产融发展促进局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42,149,128.18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减少864,775,578.50元，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本年度优化现代服务业产业扶持资金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一般公共预算财政拨款收入42,149,127.84元，占100.00%；其他收入0.34元，占0.00%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天津经济技术开发区产融发展促进局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42,149,127.84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减少864,775,578.84元，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本年度优化现代服务业产业扶持资金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基本支出4,278,809.24元，占10.15%；项目支出37,870,318.60元，占89.85%</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42,149,127.84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减少864,775,578.84元，下降95.35%，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本年度优化现代服务业产业扶持资金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一般公共预算财政拨款42,149,127.84元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一般公共服务支出6,669,042.24元、商业服务业等支出6,000,000.00元、金融支出29,480,085.60元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天津经济技术开发区产融发展促进局2025年度一般公共预算财政拨款支出合计42,149,127.84元，占本年支出合计的100.00%。与2024年度相比，一般公共预算财政拨款支出</w:t>
      </w:r>
      <w:r>
        <w:rPr>
          <w:rFonts w:eastAsia="仿宋_GB2312" w:hint="eastAsia"/>
          <w:sz w:val="30"/>
          <w:szCs w:val="30"/>
          <w:highlight w:val="none"/>
          <w:lang w:val="en-US" w:eastAsia="zh-CN"/>
        </w:rPr>
        <w:t xml:space="preserve">减少864,775,578.84元</w:t>
      </w:r>
      <w:r>
        <w:rPr>
          <w:rFonts w:eastAsia="仿宋_GB2312" w:hint="eastAsia"/>
          <w:sz w:val="30"/>
          <w:szCs w:val="30"/>
          <w:highlight w:val="none"/>
          <w:lang w:val="en-US" w:eastAsia="zh-CN"/>
        </w:rPr>
        <w:t xml:space="preserve">，下降95.35%</w:t>
      </w:r>
      <w:r>
        <w:rPr>
          <w:rFonts w:eastAsia="仿宋_GB2312" w:hint="eastAsia"/>
          <w:sz w:val="30"/>
          <w:szCs w:val="30"/>
          <w:highlight w:val="none"/>
          <w:lang w:val="en-US" w:eastAsia="zh-CN"/>
        </w:rPr>
        <w:t xml:space="preserve">，主要原因是本年度优化现代服务业产业扶持资金。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2025年度一般公共预算财政拨款支出42,149,127.84元，主要用于以下方面：</w:t>
      </w:r>
      <w:r>
        <w:rPr>
          <w:rFonts w:eastAsia="仿宋_GB2312" w:hint="eastAsia"/>
          <w:sz w:val="30"/>
          <w:szCs w:val="30"/>
          <w:highlight w:val="none"/>
        </w:rPr>
        <w:t xml:space="preserve">一般公共服务支出（类）支出6,669,042.24元，占15.82%，商业服务业等支出（类）支出6,000,000.00元，占14.24%，金融支出（类）支出29,480,085.60元，占69.94%</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2025年度一般公共预算财政拨款支出年初预算为17,492,000.00元，支出决算为42,149,127.84元</w:t>
      </w:r>
      <w:r>
        <w:rPr>
          <w:rFonts w:eastAsia="仿宋_GB2312" w:hint="eastAsia"/>
          <w:sz w:val="30"/>
          <w:szCs w:val="30"/>
          <w:highlight w:val="none"/>
          <w:lang w:val="en-US" w:eastAsia="zh-CN"/>
        </w:rPr>
        <w:t xml:space="preserve">，完成年初预算的240.96%</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1.一般公共服务支出（类）商贸事务（款）行政运行（项）年初预算为4,742,000.00元，支出决算为4,278,809.24元，完成年初预算的90.23%，决算数小于年初预算数的主要原因是：本年度严控支出，压减非刚性支出。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商贸事务（款）招商引资（项）年初预算为1,000,000.00元，支出决算为2,390,233.00元，完成年初预算的239.02%，决算数大于年初预算数的主要原因是：年中追加必要的招商引资活动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3.商业服务业等支出（类）涉外发展服务支出（款）其他涉外发展服务支出（项）年初预算为0.00元，支出决算为6,000,000.00元，决算数大于年初预算数的主要原因是：年中追加现代服务业预算并支出。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金融支出（类）金融部门行政支出（款）一般行政管理事务（项）年初预算为11,750,000.00元，支出决算为29,480,085.60元，完成年初预算的250.89%，决算数大于年初预算数的主要原因是：年中追加预算，用于驻区单位相关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天津经济技术开发区产融发展促进局2025年度一般公共预算财政拨款基本支出合计4,278,809.24元，与2024年度相比</w:t>
      </w:r>
      <w:r>
        <w:rPr>
          <w:rFonts w:eastAsia="仿宋_GB2312" w:hint="eastAsia"/>
          <w:sz w:val="30"/>
          <w:szCs w:val="30"/>
          <w:highlight w:val="none"/>
          <w:lang w:val="en-US" w:eastAsia="zh-CN"/>
        </w:rPr>
        <w:t xml:space="preserve">减少193,318.06元，</w:t>
      </w:r>
      <w:r>
        <w:rPr>
          <w:rFonts w:eastAsia="仿宋_GB2312" w:hint="eastAsia"/>
          <w:sz w:val="30"/>
          <w:szCs w:val="30"/>
          <w:highlight w:val="none"/>
          <w:lang w:val="en-US" w:eastAsia="zh-CN"/>
        </w:rPr>
        <w:t xml:space="preserve">主要原因是本年度人员减少，相应人员经费减少。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人员经费3,997,277.68元，主要包括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公用经费281,531.56元，主要包括</w:t>
      </w:r>
      <w:r>
        <w:rPr>
          <w:rFonts w:eastAsia="仿宋_GB2312" w:hint="eastAsia"/>
          <w:sz w:val="30"/>
          <w:szCs w:val="30"/>
          <w:highlight w:val="none"/>
          <w:lang w:val="en-US" w:eastAsia="zh-CN"/>
        </w:rPr>
        <w:t xml:space="preserve">办公费、手续费、水费、邮电费、差旅费、因公出国（境）费用、维修(护)费、培训费、委托业务费、其他交通费用、其他商品和服务支出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182,164.00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181,337.76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减少826.24元</w:t>
      </w:r>
      <w:r>
        <w:rPr>
          <w:rFonts w:eastAsia="仿宋_GB2312" w:hint="eastAsia"/>
          <w:sz w:val="30"/>
          <w:szCs w:val="30"/>
          <w:highlight w:val="none"/>
          <w:lang w:val="en-US" w:eastAsia="zh-CN"/>
        </w:rPr>
        <w:t xml:space="preserve">，完成预算的99.55%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支出决算较上年增加143,157.76元</w:t>
      </w:r>
      <w:r>
        <w:rPr>
          <w:rFonts w:eastAsia="仿宋_GB2312" w:hint="eastAsia"/>
          <w:sz w:val="30"/>
          <w:szCs w:val="30"/>
          <w:highlight w:val="none"/>
          <w:lang w:val="en-US" w:eastAsia="zh-CN"/>
        </w:rPr>
        <w:t xml:space="preserve">，增长374.95%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决算数小于预算数的主要原因是本年度严控支出，压减三公经费支出；</w:t>
      </w:r>
      <w:r>
        <w:rPr>
          <w:rFonts w:eastAsia="仿宋_GB2312" w:hint="eastAsia"/>
          <w:sz w:val="30"/>
          <w:szCs w:val="30"/>
          <w:highlight w:val="none"/>
          <w:lang w:val="en-US" w:eastAsia="zh-CN"/>
        </w:rPr>
        <w:t xml:space="preserve">决算数较上年增加的主要原因是本年度因必要的因公出国任务，出国人数较上年度增加。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181,464.00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181,337.76</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减少126.24元</w:t>
      </w:r>
      <w:r>
        <w:rPr>
          <w:rFonts w:eastAsia="仿宋_GB2312" w:hint="eastAsia"/>
          <w:sz w:val="30"/>
          <w:szCs w:val="30"/>
          <w:highlight w:val="none"/>
          <w:lang w:val="en-US" w:eastAsia="zh-CN"/>
        </w:rPr>
        <w:t xml:space="preserve">，完成预算的99.93%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支出决算较上年增加144,117.76元</w:t>
      </w:r>
      <w:r>
        <w:rPr>
          <w:rFonts w:eastAsia="仿宋_GB2312" w:hint="eastAsia"/>
          <w:sz w:val="30"/>
          <w:szCs w:val="30"/>
          <w:highlight w:val="none"/>
          <w:lang w:val="en-US" w:eastAsia="zh-CN"/>
        </w:rPr>
        <w:t xml:space="preserve">，增长387.21%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决算数小于预算数的主要原因是国际汇率变化；</w:t>
      </w:r>
      <w:r>
        <w:rPr>
          <w:rFonts w:eastAsia="仿宋_GB2312" w:hint="eastAsia"/>
          <w:sz w:val="30"/>
          <w:szCs w:val="30"/>
          <w:highlight w:val="none"/>
          <w:lang w:val="en-US" w:eastAsia="zh-CN"/>
        </w:rPr>
        <w:t xml:space="preserve">决算数较上年增加的主要原因是本年度因必要的因公出国任务，出国人数较上年度增加。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700.00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减少700.00元</w:t>
      </w:r>
      <w:r>
        <w:rPr>
          <w:rFonts w:eastAsia="仿宋_GB2312" w:hint="eastAsia"/>
          <w:sz w:val="30"/>
          <w:szCs w:val="30"/>
          <w:highlight w:val="none"/>
          <w:lang w:val="en-US" w:eastAsia="zh-CN"/>
        </w:rPr>
        <w:t xml:space="preserve">，完成预算的0.00%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支出决算较上年减少960.00元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决算数小于预算数的主要原因是本年度严控支出，压减公务接待支出；</w:t>
      </w:r>
      <w:r>
        <w:rPr>
          <w:rFonts w:eastAsia="仿宋_GB2312" w:hint="eastAsia"/>
          <w:sz w:val="30"/>
          <w:szCs w:val="30"/>
          <w:highlight w:val="none"/>
          <w:lang w:val="en-US" w:eastAsia="zh-CN"/>
        </w:rPr>
        <w:t xml:space="preserve">决算数较上年减少的主要原因是本年度严控支出，压减公务接待支出。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产融发展促进局2025年度机关运行经费年初预算307,200.00元，决算数281,531.56元，与年初预算相比</w:t>
      </w:r>
      <w:r>
        <w:rPr>
          <w:rFonts w:eastAsia="仿宋_GB2312" w:hint="eastAsia"/>
          <w:sz w:val="30"/>
          <w:szCs w:val="30"/>
          <w:highlight w:val="none"/>
          <w:lang w:val="en-US" w:eastAsia="zh-CN"/>
        </w:rPr>
        <w:t xml:space="preserve">减少25,668.44元，</w:t>
      </w:r>
      <w:r>
        <w:rPr>
          <w:rFonts w:eastAsia="仿宋_GB2312" w:hint="eastAsia"/>
          <w:sz w:val="30"/>
          <w:szCs w:val="30"/>
          <w:highlight w:val="none"/>
          <w:lang w:val="en-US" w:eastAsia="zh-CN"/>
        </w:rPr>
        <w:t xml:space="preserve">完成年初预算的91.64%；</w:t>
      </w:r>
      <w:r>
        <w:rPr>
          <w:rFonts w:eastAsia="仿宋_GB2312" w:hint="eastAsia"/>
          <w:sz w:val="30"/>
          <w:szCs w:val="30"/>
          <w:highlight w:val="none"/>
          <w:lang w:val="en-US" w:eastAsia="zh-CN"/>
        </w:rPr>
        <w:t xml:space="preserve">比2024年增加26,388.36元</w:t>
      </w:r>
      <w:r>
        <w:rPr>
          <w:rFonts w:eastAsia="仿宋_GB2312" w:hint="eastAsia"/>
          <w:sz w:val="30"/>
          <w:szCs w:val="30"/>
          <w:highlight w:val="none"/>
          <w:lang w:val="en-US" w:eastAsia="zh-CN"/>
        </w:rPr>
        <w:t xml:space="preserve">，增长10.34%</w:t>
      </w:r>
      <w:r>
        <w:rPr>
          <w:rFonts w:eastAsia="仿宋_GB2312" w:hint="eastAsia"/>
          <w:sz w:val="30"/>
          <w:szCs w:val="30"/>
          <w:highlight w:val="none"/>
          <w:lang w:val="en-US" w:eastAsia="zh-CN"/>
        </w:rPr>
        <w:t xml:space="preserve">。主要原因是：按照政府收支分类科目要求，本年度公用经费列支残保金。</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2025年政府采购支出总额16,169,289.15元，其中：政府采购货物支出0.00元、政府采购工程支出0.00元、政府采购服务支出16,169,289.15元。授予中小企业合同金额15,549,289.15元，占政府采购支出总额的96.17%，其中：授予小微企业合同金额6,994,389.15元，占政府采购支出总额的43.26%；货物采购授予中小企业合同金额占货物支出金额的0.00%，工程采购授予中小企业合同金额占工程支出金额的0.00%，服务采购授予中小企业合同金额占服务支出金额的96.17%。</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天津经济技术开发区产融发展促进局2025年度无国有资产占有使用情况。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天津经济技术开发区产融发展促进局2025年度已对12个区级项目开展绩效自评，涉及金额40,166,050.25元，自评结果已随部门决算一并公开。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天津经济技术开发区产融发展促进局不属于乡、镇、街级单位，不涉及公开2025年度教育、医疗卫生、社会保障和就业、住房保障、涉农补贴等民生支出情况。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972E31FC-6615-44CB-A897-AECB6A4C0065}"/>
    <w:embedBold r:id="rId2" w:subsetted="1" w:fontKey="{73877F67-CC7D-49B1-B819-FBAB3236E240}"/>
  </w:font>
  <w:font w:name="Cambria">
    <w:panose1 w:val="02040503050406030204"/>
    <w:charset w:val="00"/>
    <w:family w:val="roman"/>
    <w:pitch w:val="default"/>
    <w:sig w:usb0="E00006FF" w:usb1="420024FF" w:usb2="02000000" w:usb3="00000000" w:csb0="2000019F" w:csb1="00000000"/>
    <w:embedRegular r:id="rId3" w:fontKey="{CE5A5979-36D7-4DB2-9356-7B27E8348532}"/>
  </w:font>
  <w:font w:name="Calibri">
    <w:panose1 w:val="020F0502020204030204"/>
    <w:charset w:val="00"/>
    <w:family w:val="swiss"/>
    <w:pitch w:val="default"/>
    <w:sig w:usb0="E4002EFF" w:usb1="C200247B" w:usb2="00000009" w:usb3="00000000" w:csb0="200001FF" w:csb1="00000000"/>
    <w:embedRegular r:id="rId4" w:fontKey="{1A3B6A30-929E-482F-9810-A43B17187780}"/>
  </w:font>
  <w:font w:name="黑体">
    <w:panose1 w:val="02010609060101010101"/>
    <w:charset w:val="FFFFFF86"/>
    <w:family w:val="auto"/>
    <w:pitch w:val="default"/>
    <w:sig w:usb0="800002BF" w:usb1="38CF7CFA" w:usb2="00000016" w:usb3="00000000" w:csb0="00040001" w:csb1="00000000"/>
    <w:embedRegular r:id="rId5" w:subsetted="1" w:fontKey="{7442074F-1E6C-48BE-9932-E0A84D9A7214}"/>
    <w:embedBold r:id="rId6" w:subsetted="1" w:fontKey="{B8271B99-6E1C-4059-AF4C-AFE496FA0CDD}"/>
  </w:font>
  <w:font w:name="方正小标宋简体">
    <w:altName w:val="黑体"/>
    <w:panose1 w:val="02000000000000000000"/>
    <w:charset w:val="FFFFFF86"/>
    <w:family w:val="auto"/>
    <w:pitch w:val="default"/>
    <w:sig w:usb0="00000001" w:usb1="08000000" w:usb2="00000000" w:usb3="00000000" w:csb0="00040000" w:csb1="00000000"/>
    <w:embedRegular r:id="rId7" w:fontKey="{B30DB365-F632-48DC-82A7-F80AD4C75255}"/>
    <w:embedBold r:id="rId8" w:fontKey="{DECA75B7-D28E-42D5-882E-9D8F629D5F96}"/>
  </w:font>
  <w:font w:name="仿宋">
    <w:panose1 w:val="02010609060101010101"/>
    <w:charset w:val="FFFFFF86"/>
    <w:family w:val="auto"/>
    <w:pitch w:val="default"/>
    <w:sig w:usb0="800002BF" w:usb1="38CF7CFA" w:usb2="00000016" w:usb3="00000000" w:csb0="00040001" w:csb1="00000000"/>
    <w:embedRegular r:id="rId9" w:subsetted="1" w:fontKey="{67ACBA6E-0A60-4E5E-9777-28C2F2A229CD}"/>
  </w:font>
  <w:font w:name="方正仿宋_GB2312">
    <w:altName w:val="仿宋"/>
    <w:panose1 w:val="02000000000000000000"/>
    <w:charset w:val="FFFFFF86"/>
    <w:family w:val="auto"/>
    <w:pitch w:val="default"/>
    <w:sig w:usb0="A00002BF" w:usb1="184F6CFA" w:usb2="00000012" w:usb3="00000000" w:csb0="00040001" w:csb1="00000000"/>
    <w:embedRegular r:id="rId10" w:fontKey="{B7657BCB-58F6-42B9-8DA1-B853007ECEF7}"/>
  </w:font>
  <w:font w:name="仿宋_GB2312">
    <w:altName w:val="仿宋"/>
    <w:panose1 w:val="02010609030101010101"/>
    <w:charset w:val="FFFFFF86"/>
    <w:family w:val="auto"/>
    <w:pitch w:val="default"/>
    <w:sig w:usb0="00000001" w:usb1="080E0000" w:usb2="00000000" w:usb3="00000000" w:csb0="00040000" w:csb1="00000000"/>
    <w:embedRegular r:id="rId11" w:fontKey="{4F018709-35C2-4BEC-B5C0-E216BAC693DD}"/>
  </w:font>
  <w:font w:name="方正楷体_GB2312">
    <w:altName w:val="宋体"/>
    <w:panose1 w:val="02000000000000000000"/>
    <w:charset w:val="FFFFFF86"/>
    <w:family w:val="auto"/>
    <w:pitch w:val="default"/>
    <w:sig w:usb0="A00002BF" w:usb1="184F6CFA" w:usb2="00000012" w:usb3="00000000" w:csb0="00040001" w:csb1="00000000"/>
    <w:embedRegular r:id="rId12" w:fontKey="{C842422B-624B-4FDD-8B9C-100D3093B50C}"/>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8A6D2A73-30B3-4423-8262-B61DF1B22D17}"/>
    <w:embedBold r:id="rId14" w:subsetted="1" w:fontKey="{30C5AE67-122A-4A43-8801-2251FC24E13F}"/>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