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天津经济技术开发区人力资源和社会保障局</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年度部门决算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TOC \o "1-3" \h \z \u</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_Toc31751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240" w:firstLine="0" w:leftChars="100" w:firstLineChars="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一、主要职责</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_Toc957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二、机构设置</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_Toc9641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_Toc22959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_Toc24940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二、《收入决算表（按功能分类列示）》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_Toc19253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三、《收入决算表（按单位列示）》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_Toc1420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四、《支出决算表》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_Toc16222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五、《财政拨款收入支出决算总表》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_Toc10133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12</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六、《一般公共预算财政拨款支出决算表》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七、《一般公共预算财政拨款基本支出决算表》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_Toc8838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八、《政府性基金预算财政拨款收入支出决算表》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_Toc2699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九、《国有资本经营预算财政拨款收入支出决算表》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_Toc11009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_Toc25214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十一、《项目支出决算表》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_Toc18972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_Toc7922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_Toc7052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_Toc6621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_Toc21049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四、财政拨款收支决算总体情况说明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_Toc8231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五、一般公共预算财政拨款支出决算情况说明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六、一般公共预算财政拨款基本支出决算情况说明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_Toc17234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七、政府性基金预算财政拨款收支决算情况说明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_Toc11228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八、国有资本经营预算财政拨款收支决算情况说明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九、财政拨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十、机关运行经费支出情况说明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_Toc30303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十一、政府采购支出情况说明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_Toc3597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十二、国有资产占有使用情况说明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_Toc32039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十三、预算绩效情况说明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十四、教育、医疗卫生、社会保障和就业、住房保障、涉农补贴等民生支出情况说明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_Toc10864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_Toc19733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方正小标宋简体" w:eastAsia="方正小标宋简体" w:hAnsi="方正小标宋简体" w:cs="方正小标宋简体" w:hint="eastAsia"/>
          <w:sz w:val="30"/>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31751"/>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957"/>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天津经济技术开发区人力资源和社会保障局</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（一）负责贯彻执行关于法定机构、人力资源、社会保障、医疗保障工作的法律、法规、规章和方针政策，制定区域人力资源和社会保障工作发展计划并组织实施。 （二）负责制定区域产业人才发展规划，制定产业人才引进、 培养、奖励等政策并贯彻落实。负责产业人才的评选表彰和相关管理工作。做好专业技术职称申报、评审及评委会日常管理工作。 健全博士后管理制度，做好高层次专业技术人才选拔和培养工作。开辟海内外引才引智“绿色通道”，促进区域产业发展所需各类人才流入。开展人才调研及相关宣传工作。 （三）宣传贯彻落实养老、工伤、失业等社会保险及医疗保险的法律、法规、条例。负责职工连续工龄审定、补缴 1998 年前企业漏缴保险的联合会审、特岗和因病提前退休的资格审核和鉴定。负责工伤认定和劳动能力鉴定。加强工资宏观指导。配合新区医保局和天津市医保分中心开展对医疗保障领域监督检查管理。做好企业年金备案等相关工作。配合相关街道开展城镇居民养老、医疗保险工作。 （四）负责宣传贯彻劳动保障法律法规政策，依法开展劳动保障监察。承担区劳动人事争议仲裁委员会办公室日常工作，指导推动基层劳动争议调解组织建设，负责劳动人事争议案件调解仲裁工作。强化劳动关系三方协调机制，负责区域劳动关系管理，开展和谐企业、和谐园区创建评选工作，协调处置群体性劳资应急突发事件。 （五）负责促进就业与服务工作，贯彻落实天津市、新区就业规划和相关政策，指导就业服务，就业登记、备案管理，指导和规范公共就业服务信息管理，完善区域就业预警和信息引导，实施预防、调节和控制。负责指导开展区域人力资源开发与对接，为区域发展提供人力资源保障。 （六）负责区域技能人才队伍建设，推动区域各类职业培训项目的开发与落实，做好区域各类职业培训资源的管理与优化工作。 （七）负责区域人力资源服务业产业促进工作，研究推动实施区域人力资源服务产业园及国家级人力资源服务出口基地建设，负责人力资源服务行业管理与服务工作。 （八）负责区域企业职工人事档案接收、存放、查询、借阅、转递等工作。负责区域流动人员及国有企业退休人员人事档案管理与服务以及信息化建设工作。负责区域人力社保领域涉及公共服务窗口经办等工作。 （九）负责区域新增就业工作，开展失业保险政策促进就业工作，负责大学生就业创业政策和稳定促进就业政策审核。 （十）负责区域人力社保领域产业人才队伍建设。 （十一）协助主管领导联系与协调社保中心开发区分中心、 医保中心开发区分中心工作。 （十二）负责本领域安全生产管理，从行业规划、产业政策、法规标准等方面加强本领域安全生产工作，指导督促企业加强安全管理。负责经开区技工学校、职业培训机构、人力资源服务机构的安全生产监督管理。 （十三）贯彻落实本部门全面从严治党主体责任，严格落实基层党建工作任务，发挥党组织战斗堡垒作用和党员先锋模范作用。 （十四）完成党委、管委会交办的其他各项工作</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9641"/>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天津经济技术开发区人力资源和社会保障局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年度部门决算编制范围的单位包括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部门本级（内设14个职能科室）。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2959"/>
      <w:r>
        <w:rPr>
          <w:rFonts w:ascii="方正小标宋简体" w:eastAsia="方正小标宋简体" w:hAnsi="方正小标宋简体" w:cs="方正小标宋简体" w:hint="eastAsia"/>
          <w:b w:val="0"/>
          <w:bCs w:val="0"/>
          <w:lang w:val="en-US" w:eastAsia="zh-CN"/>
        </w:rPr>
        <w:t xml:space="preserve">第二部分  2025年度部门决算表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49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天津经济技术开发区人力资源和社会保障局</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46578463.54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170000.00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15000000.00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31330463.54</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18646.00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r>
              <w:rPr>
                <w:rFonts w:ascii="Times New Roman" w:eastAsia="宋体" w:hAnsi="Times New Roman" w:cs="Times New Roman" w:hint="default"/>
                <w:i w:val="0"/>
                <w:iCs w:val="0"/>
                <w:color w:val="000000"/>
                <w:kern w:val="0.0"/>
                <w:sz w:val="20"/>
                <w:szCs w:val="20"/>
                <w:u w:val="none"/>
                <w:lang w:val="en-US" w:eastAsia="zh-CN"/>
              </w:rPr>
              <w:t xml:space="preserve">100000.00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46597109.54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46600463.54</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22000.00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18646.00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22000.00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46619109.54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46619109.54</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divId w:val="0"/>
        <w:ind w:left="-480" w:firstLine="0" w:leftChars="-200" w:firstLineChars="0"/>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19253"/>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天津经济技术开发区人力资源和社会保障局</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46597109.54</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46578463.54</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18646.00</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政府办公厅（室）及相关机构事务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2010302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一般行政管理事务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科学技术支出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15000000.00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15000000.00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20604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技术研究与开发</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15000000.00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15000000.00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2060499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其他技术研究与开发支出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15000000.00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15000000.00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31327109.54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31308463.54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18646.00</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人力资源和社会保障管理事务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31131667.53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31113021.53</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18646.00</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2080101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行政运行</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22598151.15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22598151.15</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2080104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综合业务管理</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8533516.38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8514870.38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18646.00</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20807</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就业补助</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195442.01</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195442.01</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2080704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社会保险补贴</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195442.01</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195442.01</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灾害防治及应急管理支出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应急管理事务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2240106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安全监管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420"/>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天津经济技术开发区人力资源和社会保障局</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46619109.54</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46597109.54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46578463.54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18646.00</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353101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天津经济技术开发区人力资源和社会保障局</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46619109.54</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46597109.54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46578463.54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18646.00</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天津经济技术开发区人力资源和社会保障局</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22000.00</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22000.00</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22000.00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353101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天津经济技术开发区人力资源和社会保障局</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22000.00</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22000.00</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22000.00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6222"/>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天津经济技术开发区人力资源和社会保障局</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46600463.54</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22598151.15</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24002312.39</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政府办公厅（室）及相关机构事务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2010302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一般行政管理事务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科学技术支出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20604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技术研究与开发</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2060499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其他技术研究与开发支出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31330463.54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22598151.15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8732312.39</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人力资源和社会保障管理事务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31135021.53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22598151.15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8536870.38</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2080101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行政运行</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22598151.15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22598151.15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2080104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综合业务管理</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8536870.38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8536870.38</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20807</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就业补助</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195442.01</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195442.01</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2080704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社会保险补贴</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195442.01</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195442.01</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灾害防治及应急管理支出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应急管理事务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2240106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安全监管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10133"/>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天津经济技术开发区人力资源和社会保障局</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46578463.54</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170000.00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170000.00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15000000.00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15000000.00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31308463.54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31308463.54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100000.00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100000.00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46578463.54</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46578463.54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46578463.54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46578463.54</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46578463.54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46578463.54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32088"/>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天津经济技术开发区人力资源和社会保障局</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46578463.54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22598151.15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21423908.46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1174242.69</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23980312.39</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170000.00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170000.00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政府办公厅（室）及相关机构事务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170000.00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170000.00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2010302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一般行政管理事务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170000.00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170000.00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科学技术支出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15000000.00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15000000.00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20604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技术研究与开发</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15000000.00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15000000.00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2060499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其他技术研究与开发支出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15000000.00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15000000.00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31308463.54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22598151.15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21423908.46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1174242.69</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8710312.39</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人力资源和社会保障管理事务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31113021.53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22598151.15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21423908.46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1174242.69</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8514870.38</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2080101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行政运行</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22598151.15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22598151.15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21423908.46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1174242.69</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2080104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综合业务管理</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8514870.38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8514870.38</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20807</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就业补助</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195442.01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195442.01</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2080704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社会保险补贴</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195442.01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195442.01</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灾害防治及应急管理支出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应急管理事务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2240106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安全监管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100000.00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8838"/>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天津经济技术开发区人力资源和社会保障局</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21423908.46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1174242.69</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4189105.83</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145986.10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10005177.75</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10795.90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595.00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27468.00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1091259.52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200549.00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545629.76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682037.20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147541.30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50640.40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4860058.00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4350.00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51698.12</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4840.00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290500.00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109919.27</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21423908.46</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1174242.69</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2699"/>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天津经济技术开发区人力资源和社会保障局</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天津经济技术开发区人力资源和社会保障局2025年度政府性基金预算财政拨款收入支出决算表为空表。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11009"/>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天津经济技术开发区人力资源和社会保障局</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天津经济技术开发区人力资源和社会保障局2025年度国有资本经营预算财政拨款收入支出决算表为空表。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14"/>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天津经济技术开发区人力资源和社会保障局</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4840.00</w:t>
            </w: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4840.00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9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天津经济技术开发区人力资源和社会保障局</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24002312.39</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23980312.39</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22000.00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一般公共服务支出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政府办公厅（室）及相关机构事务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一般行政管理事务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科学技术支出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20604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技术研究与开发</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2060499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其他技术研究与开发支出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社会保障和就业支出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8732312.39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8710312.39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人力资源和社会保障管理事务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8536870.38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8514870.38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2080104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综合业务管理</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8536870.38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8514870.38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20807</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就业补助</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195442.01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195442.01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2080704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社会保险补贴</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195442.01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195442.01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灾害防治及应急管理支出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应急管理事务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2240106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安全监管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7922"/>
      <w:r>
        <w:rPr>
          <w:rFonts w:ascii="方正小标宋简体" w:eastAsia="方正小标宋简体" w:hAnsi="方正小标宋简体" w:cs="方正小标宋简体" w:hint="eastAsia"/>
          <w:b w:val="0"/>
          <w:bCs w:val="0"/>
          <w:lang w:val="en-US" w:eastAsia="zh-CN"/>
        </w:rPr>
        <w:t xml:space="preserve">第三部分  2025年度部门决算情况说明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7052"/>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天津经济技术开发区人力资源和社会保障局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46,619,109.54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减少10,644,232.94元，下降18.59%</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本年度人才类产业扶持项目减少，因而本年度收支较上年度减少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一般公共预算财政拨款收入46,578,463.54元、其他收入18,646.00元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bookmarkStart w:id="17" w:name="_Toc6621"/>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一般公共服务支出170,000.00元、科学技术支出15,000,000.00元、社会保障和就业支出31,330,463.54元、灾害防治及应急管理支出100,000.00元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天津经济技术开发区人力资源和社会保障局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46,597,109.54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减少7,233,790.39元，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本年度人才类产业扶持项目减少，因而本年度收入较上年度减少</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一般公共预算财政拨款收入46,578,463.54元，占99.96%；其他收入18,646.00元，占0.04%</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21049"/>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天津经济技术开发区人力资源和社会保障局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46,600,463.54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减少10,630,552.94元，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本年度人才类产业扶持项目减少，因而本年度整体支出较上年度减少</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基本支出22,598,151.15元，占48.49%；项目支出24,002,312.39元，占51.51%</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82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天津经济技术开发区人力资源和社会保障局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46,578,463.54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减少7,234,520.39元，下降13.44%，</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本年度人才类产业扶持项目减少，因而本年度财政拨款收支较上年度减少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一般公共预算财政拨款46,578,463.54元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一般公共服务支出170,000.00元、科学技术支出15,000,000.00元、社会保障和就业支出31,308,463.54元、灾害防治及应急管理支出100,000.00元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24201"/>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天津经济技术开发区人力资源和社会保障局2025年度一般公共预算财政拨款支出合计46,578,463.54元，占本年支出合计的99.95%。与2024年度相比，一般公共预算财政拨款支出</w:t>
      </w:r>
      <w:r>
        <w:rPr>
          <w:rFonts w:eastAsia="仿宋_GB2312" w:hint="eastAsia"/>
          <w:sz w:val="30"/>
          <w:szCs w:val="30"/>
          <w:highlight w:val="none"/>
          <w:lang w:val="en-US" w:eastAsia="zh-CN"/>
        </w:rPr>
        <w:t xml:space="preserve">减少7,234,520.39元</w:t>
      </w:r>
      <w:r>
        <w:rPr>
          <w:rFonts w:eastAsia="仿宋_GB2312" w:hint="eastAsia"/>
          <w:sz w:val="30"/>
          <w:szCs w:val="30"/>
          <w:highlight w:val="none"/>
          <w:lang w:val="en-US" w:eastAsia="zh-CN"/>
        </w:rPr>
        <w:t xml:space="preserve">，下降13.44%</w:t>
      </w:r>
      <w:r>
        <w:rPr>
          <w:rFonts w:eastAsia="仿宋_GB2312" w:hint="eastAsia"/>
          <w:sz w:val="30"/>
          <w:szCs w:val="30"/>
          <w:highlight w:val="none"/>
          <w:lang w:val="en-US" w:eastAsia="zh-CN"/>
        </w:rPr>
        <w:t xml:space="preserve">，主要原因是本年度人才类产业扶持项目减少，因而本年度一般公用预算财政拨款支出较上年度减少。</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2025年度一般公共预算财政拨款支出46,578,463.54元，主要用于以下方面：</w:t>
      </w:r>
      <w:r>
        <w:rPr>
          <w:rFonts w:eastAsia="仿宋_GB2312" w:hint="eastAsia"/>
          <w:sz w:val="30"/>
          <w:szCs w:val="30"/>
          <w:highlight w:val="none"/>
        </w:rPr>
        <w:t xml:space="preserve">一般公共服务支出（类）支出170,000.00元，占0.37%，科学技术支出（类）支出15,000,000.00元，占32.20%，社会保障和就业支出（类）支出31,308,463.54元，占67.22%，灾害防治及应急管理支出（类）支出100,000.00元，占0.21%</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2025年度一般公共预算财政拨款支出年初预算为51,135,200.00元，支出决算为46,578,463.54元</w:t>
      </w:r>
      <w:r>
        <w:rPr>
          <w:rFonts w:eastAsia="仿宋_GB2312" w:hint="eastAsia"/>
          <w:sz w:val="30"/>
          <w:szCs w:val="30"/>
          <w:highlight w:val="none"/>
          <w:lang w:val="en-US" w:eastAsia="zh-CN"/>
        </w:rPr>
        <w:t xml:space="preserve">，完成年初预算的91.09%</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一般公共服务支出（类）政府办公厅（室）及相关机构事务（款）一般行政管理事务（项）年初预算为170,000.00元，支出决算为170,000.00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科学技术支出（类）技术研究与开发（款）其他技术研究与开发支出（项）年初预算为15,000,000.00元，支出决算为15,000,000.00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社会保障和就业支出（类）人力资源和社会保障管理事务（款）行政运行（项）年初预算为26,515,200.00元，支出决算为22,598,151.15元，完成年初预算的85.23%，决算数小于年初预算数的主要原因是：因本年度人员减少，人员经费支出减少。</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社会保障和就业支出（类）人力资源和社会保障管理事务（款）综合业务管理（项）年初预算为9,350,000.00元，支出决算为8,514,870.38元，完成年初预算的91.07%，决算数小于年初预算数的主要原因是：部分项目未达到合同约定付款条件，实际支出较预算数减少。</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5.社会保障和就业支出（类）就业补助（款）社会保险补贴（项）年初预算为0.00元，支出决算为195,442.01元，决算数大于年初预算数的主要原因是：年中新增上级指标用于企业职工个人社会保险相关支出。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6.灾害防治及应急管理支出（类）应急管理事务（款）安全监管（项）年初预算为100,000.00元，支出决算为100,000.00元，完成年初预算的100.00%，决算数与年初预算数持平的主要原因是：严格按照预算执行。</w:t>
      </w:r>
    </w:p>
    <w:p>
      <w:pPr>
        <w:pStyle w:val="标题2"/>
        <w:spacing w:before="0" w:after="0" w:line="600" w:lineRule="exact"/>
        <w:ind w:firstLine="600" w:firstLineChars="200"/>
        <w:rPr>
          <w:rFonts w:ascii="黑体" w:eastAsia="黑体" w:hAnsi="黑体"/>
          <w:b w:val="0"/>
          <w:sz w:val="30"/>
          <w:szCs w:val="30"/>
          <w:highlight w:val="none"/>
        </w:rPr>
      </w:pPr>
      <w:bookmarkStart w:id="21" w:name="_Toc17234"/>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天津经济技术开发区人力资源和社会保障局2025年度一般公共预算财政拨款基本支出合计22,598,151.15元，与2024年度相比</w:t>
      </w:r>
      <w:r>
        <w:rPr>
          <w:rFonts w:eastAsia="仿宋_GB2312" w:hint="eastAsia"/>
          <w:sz w:val="30"/>
          <w:szCs w:val="30"/>
          <w:highlight w:val="none"/>
          <w:lang w:val="en-US" w:eastAsia="zh-CN"/>
        </w:rPr>
        <w:t xml:space="preserve">减少738,299.24元，</w:t>
      </w:r>
      <w:r>
        <w:rPr>
          <w:rFonts w:eastAsia="仿宋_GB2312" w:hint="eastAsia"/>
          <w:sz w:val="30"/>
          <w:szCs w:val="30"/>
          <w:highlight w:val="none"/>
          <w:lang w:val="en-US" w:eastAsia="zh-CN"/>
        </w:rPr>
        <w:t xml:space="preserve">主要原因是人员减少，相关费用减少。</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人员经费21,423,908.46元，主要包括</w:t>
      </w:r>
      <w:r>
        <w:rPr>
          <w:rFonts w:eastAsia="仿宋_GB2312" w:hint="eastAsia"/>
          <w:sz w:val="30"/>
          <w:szCs w:val="30"/>
          <w:highlight w:val="none"/>
          <w:lang w:val="en-US" w:eastAsia="zh-CN"/>
        </w:rPr>
        <w:t xml:space="preserve">基本工资、津贴补贴、机关事业单位基本养老保险缴费、职业年金缴费、职工基本医疗保险缴费、其他社会保障缴费、住房公积金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公用经费1,174,242.69元，主要包括</w:t>
      </w:r>
      <w:r>
        <w:rPr>
          <w:rFonts w:eastAsia="仿宋_GB2312" w:hint="eastAsia"/>
          <w:sz w:val="30"/>
          <w:szCs w:val="30"/>
          <w:highlight w:val="none"/>
          <w:lang w:val="en-US" w:eastAsia="zh-CN"/>
        </w:rPr>
        <w:t xml:space="preserve">办公费、印刷费、手续费、水费、邮电费、差旅费、维修(护)费、租赁费、培训费、公务接待费、委托业务费、其他交通费用、其他商品和服务支出</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11228"/>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天津经济技术开发区人力资源和社会保障局2025年度无政府性基金预算财政拨款收入、支出和结转结余。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2429"/>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天津经济技术开发区人力资源和社会保障局2025年度无国有资本经营预算财政拨款收入、支出和结转结余。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22288"/>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5,000.00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4,840.00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减少160.00元</w:t>
      </w:r>
      <w:r>
        <w:rPr>
          <w:rFonts w:eastAsia="仿宋_GB2312" w:hint="eastAsia"/>
          <w:sz w:val="30"/>
          <w:szCs w:val="30"/>
          <w:highlight w:val="none"/>
          <w:lang w:val="en-US" w:eastAsia="zh-CN"/>
        </w:rPr>
        <w:t xml:space="preserve">，完成预算的96.80%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支出决算较上年减少60,903.48元</w:t>
      </w:r>
      <w:r>
        <w:rPr>
          <w:rFonts w:eastAsia="仿宋_GB2312" w:hint="eastAsia"/>
          <w:sz w:val="30"/>
          <w:szCs w:val="30"/>
          <w:highlight w:val="none"/>
          <w:lang w:val="en-US" w:eastAsia="zh-CN"/>
        </w:rPr>
        <w:t xml:space="preserve">，下降92.64%</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决算数小于预算数的主要原因是本年度精简公务接待活动，减少公务接待次数；</w:t>
      </w:r>
      <w:r>
        <w:rPr>
          <w:rFonts w:eastAsia="仿宋_GB2312" w:hint="eastAsia"/>
          <w:sz w:val="30"/>
          <w:szCs w:val="30"/>
          <w:highlight w:val="none"/>
          <w:lang w:val="en-US" w:eastAsia="zh-CN"/>
        </w:rPr>
        <w:t xml:space="preserve">决算数较上年减少的主要原因是本年度未发生因公出国（境）任务，较上年减少因公出国费用支出。</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支出决算较上年减少60,823.48元</w:t>
      </w:r>
      <w:r>
        <w:rPr>
          <w:rFonts w:eastAsia="仿宋_GB2312" w:hint="eastAsia"/>
          <w:sz w:val="30"/>
          <w:szCs w:val="30"/>
          <w:highlight w:val="none"/>
          <w:lang w:val="en-US" w:eastAsia="zh-CN"/>
        </w:rPr>
        <w:t xml:space="preserve">，下降100.00%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决算数较上年减少的主要原因是本年度未用财政拨款经费列支因公出国（境）费。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5,000.00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4,840.00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减少160.00元</w:t>
      </w:r>
      <w:r>
        <w:rPr>
          <w:rFonts w:eastAsia="仿宋_GB2312" w:hint="eastAsia"/>
          <w:sz w:val="30"/>
          <w:szCs w:val="30"/>
          <w:highlight w:val="none"/>
          <w:lang w:val="en-US" w:eastAsia="zh-CN"/>
        </w:rPr>
        <w:t xml:space="preserve">，完成预算的96.80%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支出决算较上年减少80.00元</w:t>
      </w:r>
      <w:r>
        <w:rPr>
          <w:rFonts w:eastAsia="仿宋_GB2312" w:hint="eastAsia"/>
          <w:sz w:val="30"/>
          <w:szCs w:val="30"/>
          <w:highlight w:val="none"/>
          <w:lang w:val="en-US" w:eastAsia="zh-CN"/>
        </w:rPr>
        <w:t xml:space="preserve">，下降1.63%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决算数小于预算数的主要原因是本年度严控公务接待支出，精简整合公务接待活动，减少接待次数；</w:t>
      </w:r>
      <w:r>
        <w:rPr>
          <w:rFonts w:eastAsia="仿宋_GB2312" w:hint="eastAsia"/>
          <w:sz w:val="30"/>
          <w:szCs w:val="30"/>
          <w:highlight w:val="none"/>
          <w:lang w:val="en-US" w:eastAsia="zh-CN"/>
        </w:rPr>
        <w:t xml:space="preserve">决算数较上年减少的主要原因是本年度严控公务接待支出，精简整合公务接待活动，减少接待次数。</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7</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44</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30303"/>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机关运行经费是指行政单位和参照公务员法管理的事业单位使用财政拨款安排的基本支出中的日常公用经费支出，天津经济技术开发区人力资源和社会保障局2025年度机关运行经费年初预算1,192,700.00元，决算数1,174,242.69元，与年初预算相比</w:t>
      </w:r>
      <w:r>
        <w:rPr>
          <w:rFonts w:eastAsia="仿宋_GB2312" w:hint="eastAsia"/>
          <w:sz w:val="30"/>
          <w:szCs w:val="30"/>
          <w:highlight w:val="none"/>
          <w:lang w:val="en-US" w:eastAsia="zh-CN"/>
        </w:rPr>
        <w:t xml:space="preserve">减少18,457.31元，</w:t>
      </w:r>
      <w:r>
        <w:rPr>
          <w:rFonts w:eastAsia="仿宋_GB2312" w:hint="eastAsia"/>
          <w:sz w:val="30"/>
          <w:szCs w:val="30"/>
          <w:highlight w:val="none"/>
          <w:lang w:val="en-US" w:eastAsia="zh-CN"/>
        </w:rPr>
        <w:t xml:space="preserve">完成年初预算的98.45%；</w:t>
      </w:r>
      <w:r>
        <w:rPr>
          <w:rFonts w:eastAsia="仿宋_GB2312" w:hint="eastAsia"/>
          <w:sz w:val="30"/>
          <w:szCs w:val="30"/>
          <w:highlight w:val="none"/>
          <w:lang w:val="en-US" w:eastAsia="zh-CN"/>
        </w:rPr>
        <w:t xml:space="preserve">比2024年增加78,646.96元</w:t>
      </w:r>
      <w:r>
        <w:rPr>
          <w:rFonts w:eastAsia="仿宋_GB2312" w:hint="eastAsia"/>
          <w:sz w:val="30"/>
          <w:szCs w:val="30"/>
          <w:highlight w:val="none"/>
          <w:lang w:val="en-US" w:eastAsia="zh-CN"/>
        </w:rPr>
        <w:t xml:space="preserve">，增长7.18%</w:t>
      </w:r>
      <w:r>
        <w:rPr>
          <w:rFonts w:eastAsia="仿宋_GB2312" w:hint="eastAsia"/>
          <w:sz w:val="30"/>
          <w:szCs w:val="30"/>
          <w:highlight w:val="none"/>
          <w:lang w:val="en-US" w:eastAsia="zh-CN"/>
        </w:rPr>
        <w:t xml:space="preserve">。主要原因是：本年度从严管控一般性支出，优化公务活动，压减非刚性支出，因此决算数较年初预算数有所减少；同时按照政府收支分类科目要求，本年度公用经费列支残保金，因此较上年决算数有所增加。</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3597"/>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人力资源和社会保障局2025年政府采购支出总额798,452.70元，其中：政府采购货物支出14,984.70元、政府采购工程支出0.00元、政府采购服务支出783,468.00元。授予中小企业合同金额783,468.00元，占政府采购支出总额的98.12%，其中：授予小微企业合同金额0.00元，占政府采购支出总额的0.00%；货物采购授予中小企业合同金额占货物支出金额的0.00%，工程采购授予中小企业合同金额占工程支出金额的0.00%，服务采购授予中小企业合同金额占服务支出金额的100.00%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32039"/>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截至2025年12月31日，天津经济技术开发区人力资源和社会保障局共有车辆0辆</w:t>
      </w:r>
      <w:r>
        <w:rPr>
          <w:rFonts w:eastAsia="仿宋_GB2312" w:hint="eastAsia"/>
          <w:sz w:val="30"/>
          <w:szCs w:val="30"/>
          <w:highlight w:val="none"/>
          <w:lang w:val="en-US" w:eastAsia="zh-CN"/>
        </w:rPr>
        <w:t xml:space="preserve">。单价100万元以上的设备2台（套）。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2201"/>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天津经济技术开发区人力资源和社会保障局已对7个2025年度区级项目开展绩效自评，涉及金额24,815,442.01元，自评结果已随部门决算一并公开。</w:t>
      </w:r>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本部门2025年度未开展部门评价。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10864"/>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天津经济技术开发区人力资源和社会保障局不属于乡、镇、街级单位，不涉及公开2025年度教育、医疗卫生、社会保障和就业、住房保障、涉农补贴等民生支出情况。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19733"/>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7A9A918C-7DC7-4373-8979-9090FE93AE37}"/>
    <w:embedBold r:id="rId2" w:subsetted="1" w:fontKey="{10BBF51C-3171-4B4C-BF8F-8E8A9666C84E}"/>
  </w:font>
  <w:font w:name="Cambria">
    <w:panose1 w:val="02040503050406030204"/>
    <w:charset w:val="00"/>
    <w:family w:val="roman"/>
    <w:pitch w:val="default"/>
    <w:sig w:usb0="E00006FF" w:usb1="420024FF" w:usb2="02000000" w:usb3="00000000" w:csb0="2000019F" w:csb1="00000000"/>
    <w:embedRegular r:id="rId3" w:fontKey="{E5E9602A-0E3C-4068-8979-93546CE2606D}"/>
  </w:font>
  <w:font w:name="Calibri">
    <w:panose1 w:val="020F0502020204030204"/>
    <w:charset w:val="00"/>
    <w:family w:val="swiss"/>
    <w:pitch w:val="default"/>
    <w:sig w:usb0="E4002EFF" w:usb1="C200247B" w:usb2="00000009" w:usb3="00000000" w:csb0="200001FF" w:csb1="00000000"/>
    <w:embedRegular r:id="rId4" w:fontKey="{E6989AAF-5B54-4985-B644-E864BB1C074E}"/>
  </w:font>
  <w:font w:name="黑体">
    <w:panose1 w:val="02010609060101010101"/>
    <w:charset w:val="FFFFFF86"/>
    <w:family w:val="auto"/>
    <w:pitch w:val="default"/>
    <w:sig w:usb0="800002BF" w:usb1="38CF7CFA" w:usb2="00000016" w:usb3="00000000" w:csb0="00040001" w:csb1="00000000"/>
    <w:embedRegular r:id="rId5" w:subsetted="1" w:fontKey="{2784EEA6-AC60-4A3A-8B41-A207C047C1AB}"/>
    <w:embedBold r:id="rId6" w:subsetted="1" w:fontKey="{D6A1754D-D602-4D36-A929-AD7168A9FD4D}"/>
  </w:font>
  <w:font w:name="方正小标宋简体">
    <w:altName w:val="黑体"/>
    <w:panose1 w:val="02000000000000000000"/>
    <w:charset w:val="FFFFFF86"/>
    <w:family w:val="auto"/>
    <w:pitch w:val="default"/>
    <w:sig w:usb0="00000001" w:usb1="08000000" w:usb2="00000000" w:usb3="00000000" w:csb0="00040000" w:csb1="00000000"/>
    <w:embedRegular r:id="rId7" w:fontKey="{9A983B99-DE5C-4878-A554-30588287510C}"/>
    <w:embedBold r:id="rId8" w:fontKey="{D01BAAB9-5A7B-4691-9475-47383A9D5C19}"/>
  </w:font>
  <w:font w:name="仿宋">
    <w:panose1 w:val="02010609060101010101"/>
    <w:charset w:val="FFFFFF86"/>
    <w:family w:val="auto"/>
    <w:pitch w:val="default"/>
    <w:sig w:usb0="800002BF" w:usb1="38CF7CFA" w:usb2="00000016" w:usb3="00000000" w:csb0="00040001" w:csb1="00000000"/>
    <w:embedRegular r:id="rId9" w:subsetted="1" w:fontKey="{E6745B70-9F3A-4741-A074-CBCB2E7107BD}"/>
  </w:font>
  <w:font w:name="方正仿宋_GB2312">
    <w:altName w:val="仿宋"/>
    <w:panose1 w:val="02000000000000000000"/>
    <w:charset w:val="FFFFFF86"/>
    <w:family w:val="auto"/>
    <w:pitch w:val="default"/>
    <w:sig w:usb0="A00002BF" w:usb1="184F6CFA" w:usb2="00000012" w:usb3="00000000" w:csb0="00040001" w:csb1="00000000"/>
    <w:embedRegular r:id="rId10" w:fontKey="{243A7874-5A87-4BEC-9891-97F8FA87CE50}"/>
  </w:font>
  <w:font w:name="仿宋_GB2312">
    <w:altName w:val="仿宋"/>
    <w:panose1 w:val="02010609030101010101"/>
    <w:charset w:val="FFFFFF86"/>
    <w:family w:val="auto"/>
    <w:pitch w:val="default"/>
    <w:sig w:usb0="00000001" w:usb1="080E0000" w:usb2="00000000" w:usb3="00000000" w:csb0="00040000" w:csb1="00000000"/>
    <w:embedRegular r:id="rId11" w:fontKey="{B8461F72-457D-41F8-9BBE-1FD7BDC4409A}"/>
  </w:font>
  <w:font w:name="方正楷体_GB2312">
    <w:altName w:val="宋体"/>
    <w:panose1 w:val="02000000000000000000"/>
    <w:charset w:val="FFFFFF86"/>
    <w:family w:val="auto"/>
    <w:pitch w:val="default"/>
    <w:sig w:usb0="A00002BF" w:usb1="184F6CFA" w:usb2="00000012" w:usb3="00000000" w:csb0="00040001" w:csb1="00000000"/>
    <w:embedRegular r:id="rId12" w:fontKey="{55FD3A49-0776-4E62-B129-FD6FD932D6A4}"/>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3" w:subsetted="1" w:fontKey="{916B969C-DAC9-4721-8D00-50C86F33646E}"/>
    <w:embedBold r:id="rId14" w:subsetted="1" w:fontKey="{A707B4CB-1E95-4879-81DB-67EEFC990513}"/>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5</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9</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23</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32</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14" Type="http://schemas.openxmlformats.org/officeDocument/2006/relationships/font" Target="fonts/font13.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35</Pages>
  <Words>3930</Words>
  <Characters>23360</Characters>
  <Application>WPS Office_12.1.0.28043_F1E327BC-269C-435d-A152-05C5408002CA</Application>
  <DocSecurity>0</DocSecurity>
  <Lines>60</Lines>
  <Paragraphs>16</Paragraphs>
  <ScaleCrop>false</ScaleCrop>
  <Company>Microsoft</Company>
  <LinksUpToDate>false</LinksUpToDate>
  <CharactersWithSpaces>23943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2026-08-26T09:05:51Z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