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天津经济技术开发区公寓管理中心</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12</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天津经济技术开发区公寓管理中心</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一、作为公寓主管部门，负责经开区范围内职工公寓的管理工作。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二、履行经开区公寓管理工作领导小组办公室职责，定期召开成员单位参加的联席会，协商解决职工公寓管理热点难点问题，通报职工公寓工作情况。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三、全面管理管委会投资的公寓，将国有企业、民营企业投资建设并对外经营的各类公寓以及企业自建公寓纳入监管体系，加强行业监督管理。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四、负责对区内企业开展住宿需求调查，根据调查结果向管委会提出职工公寓建设需求；协助有关部门提出职工公寓规划建设的建议，制定职工公寓建设总体规划。</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五、提出职工公寓管理相关规范性文件，制定职工公寓管理的具体规范、制度和相关标准，不断完善职工公寓政策管理体系。</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六、履行管委会投资建设职工公寓资源分配职能，受理企业对各类型职工公寓的入住申请，做好审核及确认工作。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七、履行职工公寓的资格认定职责，并组织实施年度考核，负责对年度考核为优秀的职工公寓兑现运营补贴。</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八、开展对职工公寓物业管理与服务公司的监督考核工作，根据考核结果建议物业公司的招标规则。</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九、管理政府投资建设的职工公寓的公建非商业设施场地，制定公寓公建非商业设施管理办法。</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十、根据实际情况提请有关职能部门，对职工公寓内违反市容和环境卫生、公共设施、环境保护、绿化等法律法规规定，以及违法建筑、设摊、堆物、占路等行为做出行政处罚。</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十一、负责职工公寓安全管理制度的制定和检查执行工作。定期组织相关部门开展职工公寓联合安全检查，针对安全检查过程中发现的问题及时督促整改，整改未完成的，协调相关部门进行行政处罚。</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十二、建立职工公寓居民需求响应机制，统筹协调各职能部门、事业单位、社会组织向职工公寓提供延伸服务。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十三、丰富职工公寓业余文化生活，组建居民兴趣团队，举办各类文体活动，开展公益事业，践行社会主义核心价值观。</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十四、组织企业和居民参与职工公寓公共事务管理，提升职工公寓基层公共事务治理水平。</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十五、负责本领域安全生产管理工作。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十六、贯彻落实本部门全面从严治党主体责任，严格落实基层党建工作任务，发挥党组织战斗堡垒作用和党员先锋模范作用。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十七、完成党委、管委会交办的其他各项工作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天津经济技术开发区公寓管理中心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部门本级(内设4个职能科室)。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天津经济技术开发区公寓管理中心</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18185029.76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3900000.00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7698126.84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266918.92</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6050000.00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r>
              <w:rPr>
                <w:rFonts w:ascii="Times New Roman" w:eastAsia="宋体" w:hAnsi="Times New Roman" w:cs="Times New Roman" w:hint="default"/>
                <w:i w:val="0"/>
                <w:iCs w:val="0"/>
                <w:color w:val="000000"/>
                <w:kern w:val="0.0"/>
                <w:sz w:val="20"/>
                <w:szCs w:val="20"/>
                <w:u w:val="none"/>
                <w:lang w:val="en-US" w:eastAsia="zh-CN"/>
              </w:rPr>
              <w:t xml:space="preserve">269984.00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18185029.76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18185029.76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18185029.76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18185029.76</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天津经济技术开发区公寓管理中心</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18185029.76</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18185029.76</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技术研究与开发</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2060499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7698126.84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7698126.84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7698126.84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7698126.84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7698126.84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7698126.84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266918.92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266918.92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城乡社区管理事务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266918.92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266918.92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2120199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266918.92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266918.92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商业服务业等支出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21606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涉外发展服务支出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2160699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灾害防治及应急管理支出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269984.00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269984.00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应急管理事务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269984.00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269984.00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2240106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269984.00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269984.00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天津经济技术开发区公寓管理中心</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18185029.76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18185029.76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18185029.76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674201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天津经济技术开发区公寓管理中心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18185029.76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18185029.76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18185029.76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天津经济技术开发区公寓管理中心</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674201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天津经济技术开发区公寓管理中心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天津经济技术开发区公寓管理中心</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18185029.76</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7698126.84</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10486902.92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技术研究与开发</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2060499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7698126.84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7698126.84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7698126.84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7698126.84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7698126.84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7698126.84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266918.92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266918.92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城乡社区管理事务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266918.92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266918.92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2120199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266918.92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266918.92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商业服务业等支出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21606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涉外发展服务支出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2160699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灾害防治及应急管理支出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269984.00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269984.00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应急管理事务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269984.00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269984.00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2240106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269984.00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269984.00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天津经济技术开发区公寓管理中心</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18185029.76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3900000.00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3900000.00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7698126.84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7698126.84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266918.92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266918.92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6050000.00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6050000.00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269984.00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269984.00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18185029.76</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18185029.76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18185029.76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18185029.76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18185029.76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18185029.76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天津经济技术开发区公寓管理中心</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18185029.76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7698126.84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7299442.18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398684.66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10486902.92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技术研究与开发</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3900000.00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3900000.00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7698126.84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7698126.84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7299442.18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398684.66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7698126.84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7698126.84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7299442.18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398684.66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7698126.84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7698126.84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7299442.18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398684.66</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266918.92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266918.92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城乡社区管理事务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266918.92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266918.92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2120199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266918.92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266918.92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商业服务业等支出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21606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涉外发展服务支出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2160699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6050000.00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灾害防治及应急管理支出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269984.00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269984.00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应急管理事务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269984.00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269984.00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2240106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269984.00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269984.00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天津经济技术开发区公寓管理中心</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7299442.18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398684.66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1505913.26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46513.60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3444295.83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13248.00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408764.80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204382.40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255478.00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6281.00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18553.89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1462054.00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5060.00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57300.00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122101.04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125166.02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7299442.18</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398684.66</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天津经济技术开发区公寓管理中心</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天津经济技术开发区公寓管理中心2025年度政府性基金预算财政拨款收入支出决算表为空表。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天津经济技术开发区公寓管理中心</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天津经济技术开发区公寓管理中心2025年度国有资本经营预算财政拨款收入支出决算表为空表。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天津经济技术开发区公寓管理中心</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天津经济技术开发区公寓管理中心2025年财政拨款“三公”经费支出决算表为空表。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天津经济技术开发区公寓管理中心</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10486902.92</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10486902.92</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技术研究与开发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266918.92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266918.92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城乡社区管理事务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266918.92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266918.92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2120199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266918.92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266918.92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商业服务业等支出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21606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涉外发展服务支出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2160699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灾害防治及应急管理支出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269984.00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269984.00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应急管理事务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269984.00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269984.00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2240106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269984.00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269984.00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天津经济技术开发区公寓管理中心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18,185,029.76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减少6,056,821.71元，下降24.98%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本年度因科学技术产业扶持类项目减少，整体收支较上年减少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一般公共预算财政拨款收入18,185,029.76元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科学技术支出3,900,000.00元、社会保障和就业支出7,698,126.84元、城乡社区支出266,918.92元、商业服务业等支出6,050,000.00元、灾害防治及应急管理支出269,984.00元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天津经济技术开发区公寓管理中心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18,185,029.76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减少6,056,821.71元，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本年度因科学技术产业扶持类项目减少，整体收入较上年度减少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一般公共预算财政拨款收入18,185,029.76元，占100.00%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天津经济技术开发区公寓管理中心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18,185,029.76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减少6,056,821.71元，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本年度因科学技术产业扶持类项目减少，整体支出较上年度减少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基本支出7,698,126.84元，占42.33%；项目支出10,486,902.92元，占57.67%</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天津经济技术开发区公寓管理中心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18,185,029.76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减少6,056,821.71元，下降24.98%，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本年度因科学技术产业扶持类项目减少，财政拨款收支较上年度减少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一般公共预算财政拨款18,185,029.76元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科学技术支出3,900,000.00元、社会保障和就业支出7,698,126.84元、城乡社区支出266,918.92元、商业服务业等支出6,050,000.00元、灾害防治及应急管理支出269,984.00元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天津经济技术开发区公寓管理中心2025年度一般公共预算财政拨款支出合计18,185,029.76元，占本年支出合计的100.00%。与2024年度相比，一般公共预算财政拨款支出</w:t>
      </w:r>
      <w:r>
        <w:rPr>
          <w:rFonts w:eastAsia="仿宋_GB2312" w:hint="eastAsia"/>
          <w:sz w:val="30"/>
          <w:szCs w:val="30"/>
          <w:highlight w:val="none"/>
          <w:lang w:val="en-US" w:eastAsia="zh-CN"/>
        </w:rPr>
        <w:t xml:space="preserve">减少6,056,821.71元</w:t>
      </w:r>
      <w:r>
        <w:rPr>
          <w:rFonts w:eastAsia="仿宋_GB2312" w:hint="eastAsia"/>
          <w:sz w:val="30"/>
          <w:szCs w:val="30"/>
          <w:highlight w:val="none"/>
          <w:lang w:val="en-US" w:eastAsia="zh-CN"/>
        </w:rPr>
        <w:t xml:space="preserve">，下降24.98%</w:t>
      </w:r>
      <w:r>
        <w:rPr>
          <w:rFonts w:eastAsia="仿宋_GB2312" w:hint="eastAsia"/>
          <w:sz w:val="30"/>
          <w:szCs w:val="30"/>
          <w:highlight w:val="none"/>
          <w:lang w:val="en-US" w:eastAsia="zh-CN"/>
        </w:rPr>
        <w:t xml:space="preserve">，主要原因是本年度因科学技术产业扶持类项目减少，一般公共预算财政拨款支出较上年度减少。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2025年度一般公共预算财政拨款支出18,185,029.76元，主要用于以下方面：</w:t>
      </w:r>
      <w:r>
        <w:rPr>
          <w:rFonts w:eastAsia="仿宋_GB2312" w:hint="eastAsia"/>
          <w:sz w:val="30"/>
          <w:szCs w:val="30"/>
          <w:highlight w:val="none"/>
        </w:rPr>
        <w:t xml:space="preserve">科学技术支出（类）支出3,900,000.00元，占21.45%，社会保障和就业支出（类）支出7,698,126.84元，占42.33%，城乡社区支出（类）支出266,918.92元，占1.47%，商业服务业等支出（类）支出6,050,000.00元，占33.27%，灾害防治及应急管理支出（类）支出269,984.00元，占1.48%</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2025年度一般公共预算财政拨款支出年初预算为21,359,500.00元，支出决算为18,185,029.76元</w:t>
      </w:r>
      <w:r>
        <w:rPr>
          <w:rFonts w:eastAsia="仿宋_GB2312" w:hint="eastAsia"/>
          <w:sz w:val="30"/>
          <w:szCs w:val="30"/>
          <w:highlight w:val="none"/>
          <w:lang w:val="en-US" w:eastAsia="zh-CN"/>
        </w:rPr>
        <w:t xml:space="preserve">，完成年初预算的85.14%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科学技术支出（类）技术研究与开发（款）其他技术研究与开发支出（项）年初预算为10,000,000.00元，支出决算为3,900,000.00元，完成年初预算的39.00%，决算数小于年初预算数的主要原因是：部分项目未达到付款条件，项目支出减少，剩余额度调整至商业服务业等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人力资源和社会保障管理事务（款）事业运行（项）年初预算为10,569,500.00元，支出决算为7,698,126.84元，完成年初预算的72.83%，决算数小于年初预算数的主要原因是：从严从紧管控一般性支出，压减非刚性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城乡社区支出（类）城乡社区管理事务（款）其他城乡社区管理事务支出（项）年初预算为520,000.00元，支出决算为266,918.92元，完成年初预算的51.33%，决算数小于年初预算数的主要原因是：部分项目未达到付款条件，整体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4.商业服务业等支出（类）涉外发展服务支出（款）其他涉外发展服务支出（项）年初预算为0.00元，支出决算为6,050,000.00元，决算数大于年初预算数的主要原因是：年中追加现代服务业经费预算并支出。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灾害防治及应急管理支出（类）应急管理事务（款）安全监管（项）年初预算为270,000.00元，支出决算为269,984.00元，完成年初预算的99.99%，决算数小于年初预算数的主要原因是：严格按照预算执行，基本完成预算全部支出。</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天津经济技术开发区公寓管理中心2025年度一般公共预算财政拨款基本支出合计7,698,126.84元，与2024年度相比</w:t>
      </w:r>
      <w:r>
        <w:rPr>
          <w:rFonts w:eastAsia="仿宋_GB2312" w:hint="eastAsia"/>
          <w:sz w:val="30"/>
          <w:szCs w:val="30"/>
          <w:highlight w:val="none"/>
          <w:lang w:val="en-US" w:eastAsia="zh-CN"/>
        </w:rPr>
        <w:t xml:space="preserve">增加63,564.33元，</w:t>
      </w:r>
      <w:r>
        <w:rPr>
          <w:rFonts w:eastAsia="仿宋_GB2312" w:hint="eastAsia"/>
          <w:sz w:val="30"/>
          <w:szCs w:val="30"/>
          <w:highlight w:val="none"/>
          <w:lang w:val="en-US" w:eastAsia="zh-CN"/>
        </w:rPr>
        <w:t xml:space="preserve">主要原因是因人员调整，相关经费较上年度略有增加。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人员经费7,299,442.18元，主要包括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公用经费398,684.66元，主要包括</w:t>
      </w:r>
      <w:r>
        <w:rPr>
          <w:rFonts w:eastAsia="仿宋_GB2312" w:hint="eastAsia"/>
          <w:sz w:val="30"/>
          <w:szCs w:val="30"/>
          <w:highlight w:val="none"/>
          <w:lang w:val="en-US" w:eastAsia="zh-CN"/>
        </w:rPr>
        <w:t xml:space="preserve">办公费、手续费、水费、邮电费、差旅费、维修(护)费、培训费、委托业务费、其他交通费用、其他商品和服务支出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天津经济技术开发区公寓管理中心2025年度无政府性基金预算财政拨款收入、支出和结转结余。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天津经济技术开发区公寓管理中心2025年度无国有资本经营预算财政拨款收入、支出和结转结余。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决算数与预算数持平的主要原因是本年度未用财政拨款经费列支“三公”经费支出；</w:t>
      </w:r>
      <w:r>
        <w:rPr>
          <w:rFonts w:eastAsia="仿宋_GB2312" w:hint="eastAsia"/>
          <w:sz w:val="30"/>
          <w:szCs w:val="30"/>
          <w:highlight w:val="none"/>
          <w:lang w:val="en-US" w:eastAsia="zh-CN"/>
        </w:rPr>
        <w:t xml:space="preserve">决算数较上年持平的主要原因是本年度未用财政拨款经费列支“三公”经费支出。</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天津经济技术开发区公寓管理中心2025年度无机关运行经费。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公寓管理中心2025年政府采购支出总额15,920.00元，其中：政府采购货物支出15,920.00元、政府采购工程支出0.00元、政府采购服务支出0.00元。授予中小企业合同金额15,920.00元，占政府采购支出总额的100.00%，其中：授予小微企业合同金额15,920.00元，占政府采购支出总额的100.00%；货物采购授予中小企业合同金额占货物支出金额的100.00%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天津经济技术开发区公寓管理中心2025年度无国有资产占有使用情况。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根据预算绩效管理要求，天津经济技术开发区公寓管理中心已对5个2025年度区级项目开展绩效自评，涉及金额20,159,500.00元，自评结果已随部门决算一并公开。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天津经济技术开发区公寓管理中心不属于乡、镇、街级单位，不涉及公开2025年度教育、医疗卫生、社会保障和就业、住房保障、涉农补贴等民生支出情况。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8A351C3E-7A96-4975-8055-7837918F9A3C}"/>
    <w:embedBold r:id="rId2" w:subsetted="1" w:fontKey="{E8B0A47D-9C25-4E17-870A-3484A09EF7A9}"/>
  </w:font>
  <w:font w:name="Cambria">
    <w:panose1 w:val="02040503050406030204"/>
    <w:charset w:val="00"/>
    <w:family w:val="roman"/>
    <w:pitch w:val="default"/>
    <w:sig w:usb0="E00006FF" w:usb1="420024FF" w:usb2="02000000" w:usb3="00000000" w:csb0="2000019F" w:csb1="00000000"/>
    <w:embedRegular r:id="rId3" w:fontKey="{79664A40-0715-4774-A578-7AA1146D45B3}"/>
  </w:font>
  <w:font w:name="Calibri">
    <w:panose1 w:val="020F0502020204030204"/>
    <w:charset w:val="00"/>
    <w:family w:val="swiss"/>
    <w:pitch w:val="default"/>
    <w:sig w:usb0="E4002EFF" w:usb1="C200247B" w:usb2="00000009" w:usb3="00000000" w:csb0="200001FF" w:csb1="00000000"/>
    <w:embedRegular r:id="rId4" w:fontKey="{5B0BB5CF-7377-4135-812C-0771E03C3763}"/>
  </w:font>
  <w:font w:name="黑体">
    <w:panose1 w:val="02010609060101010101"/>
    <w:charset w:val="FFFFFF86"/>
    <w:family w:val="auto"/>
    <w:pitch w:val="default"/>
    <w:sig w:usb0="800002BF" w:usb1="38CF7CFA" w:usb2="00000016" w:usb3="00000000" w:csb0="00040001" w:csb1="00000000"/>
    <w:embedRegular r:id="rId5" w:subsetted="1" w:fontKey="{62375ABA-A8BA-4C0A-9E8A-592453BADAE8}"/>
    <w:embedBold r:id="rId6" w:subsetted="1" w:fontKey="{136D9F53-BEA1-4CEC-B1BD-9532E254E382}"/>
  </w:font>
  <w:font w:name="方正小标宋简体">
    <w:altName w:val="黑体"/>
    <w:panose1 w:val="02000000000000000000"/>
    <w:charset w:val="FFFFFF86"/>
    <w:family w:val="auto"/>
    <w:pitch w:val="default"/>
    <w:sig w:usb0="00000001" w:usb1="08000000" w:usb2="00000000" w:usb3="00000000" w:csb0="00040000" w:csb1="00000000"/>
    <w:embedRegular r:id="rId7" w:fontKey="{9E02C770-0EC0-4308-92A7-401D6FC5C406}"/>
    <w:embedBold r:id="rId8" w:fontKey="{57EE3B83-8B49-4FF3-BAC2-64FD47D5333E}"/>
  </w:font>
  <w:font w:name="仿宋">
    <w:panose1 w:val="02010609060101010101"/>
    <w:charset w:val="FFFFFF86"/>
    <w:family w:val="auto"/>
    <w:pitch w:val="default"/>
    <w:sig w:usb0="800002BF" w:usb1="38CF7CFA" w:usb2="00000016" w:usb3="00000000" w:csb0="00040001" w:csb1="00000000"/>
    <w:embedRegular r:id="rId9" w:subsetted="1" w:fontKey="{C279B13F-FC0C-419A-A7A3-9F1B2C61E6B7}"/>
  </w:font>
  <w:font w:name="方正仿宋_GB2312">
    <w:altName w:val="仿宋"/>
    <w:panose1 w:val="02000000000000000000"/>
    <w:charset w:val="FFFFFF86"/>
    <w:family w:val="auto"/>
    <w:pitch w:val="default"/>
    <w:sig w:usb0="A00002BF" w:usb1="184F6CFA" w:usb2="00000012" w:usb3="00000000" w:csb0="00040001" w:csb1="00000000"/>
    <w:embedRegular r:id="rId10" w:fontKey="{E483A08B-65CC-48A8-990F-F498C4DD90D1}"/>
  </w:font>
  <w:font w:name="仿宋_GB2312">
    <w:altName w:val="仿宋"/>
    <w:panose1 w:val="02010609030101010101"/>
    <w:charset w:val="FFFFFF86"/>
    <w:family w:val="auto"/>
    <w:pitch w:val="default"/>
    <w:sig w:usb0="00000001" w:usb1="080E0000" w:usb2="00000000" w:usb3="00000000" w:csb0="00040000" w:csb1="00000000"/>
    <w:embedRegular r:id="rId11" w:fontKey="{C3171BDE-0510-43E5-BAC0-B319A08EF151}"/>
  </w:font>
  <w:font w:name="方正楷体_GB2312">
    <w:altName w:val="宋体"/>
    <w:panose1 w:val="02000000000000000000"/>
    <w:charset w:val="FFFFFF86"/>
    <w:family w:val="auto"/>
    <w:pitch w:val="default"/>
    <w:sig w:usb0="A00002BF" w:usb1="184F6CFA" w:usb2="00000012" w:usb3="00000000" w:csb0="00040001" w:csb1="00000000"/>
    <w:embedRegular r:id="rId12" w:fontKey="{DC85E60B-D104-43B6-B853-9DEBAA521EBE}"/>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F7C99812-2672-4A49-A13F-EF2DD4E3CA7C}"/>
    <w:embedBold r:id="rId14" w:subsetted="1" w:fontKey="{D16AECE3-33D0-47F4-9493-B0799385AED3}"/>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5</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9</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23</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31</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34</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