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天津经济技术开发区北部片区管理局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（一）负责北部片区（含现代产业区、一汽大众基地）园区运维、招商、企业服务等日常事务管理工作，协调滨海新区、宁河区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相关街镇和有关部门开展工作。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（二）结合北部片区产业定位，开展招商引资工作，完成党委、管委会下达的各项招商引资指标任务。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三）做好项目促进和企业服务工作，不断提高产业园区环境品质和运维服务水平。针对园区环境短板加强巡检抽查，落实问题发现机制、“园区吹哨，部门报到”和考评机制，协调有关部门解决企业的困难和问题。</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（四）负责企业项目建设施工过程中，协调有关部门做好项目建设、基础设施建设和市政环境运维管理工作。配合处置建设、运</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维管理等领域历史遗留问题。</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（五）负责园区高质量发展调研工作，营造良好的营商环境，不断提高产业园区的运维招商、营商品质和标准。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（六）配合做好突发事件先期处置工作。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（七）贯彻落实本单位全面从严治党主体责任，严格落实基层党建工作任务，发挥党组织战斗堡垒作用和党员先锋模范作用。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（八）完成党委、管委会交办的其他各项工作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天津经济技术开发区北部片区管理局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部门本级（内设7个职能科室）。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天津经济技术开发区北部片区管理局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4097993.54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149120.00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4247113.54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4097993.54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4097993.54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799065.62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799065.62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799065.62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799065.62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3298927.92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3298927.92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3298927.92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3298927.92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149120.00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149120.00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149120.00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149120.00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安全监管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149120.00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149120.00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天津经济技术开发区北部片区管理局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4247113.54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4247113.54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4247113.54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680101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天津经济技术开发区北部片区管理局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4247113.54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4247113.54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4247113.54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天津经济技术开发区北部片区管理局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680101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天津经济技术开发区北部片区管理局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4247113.54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3298927.92</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948185.62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4097993.54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3298927.92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799065.62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799065.62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799065.62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799065.62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799065.62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3298927.92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3298927.92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3298927.92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3298927.92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149120.00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149120.00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149120.00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149120.00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安全监管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149120.00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149120.00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4097993.54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4097993.54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149120.00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149120.00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4247113.54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天津经济技术开发区北部片区管理局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4247113.54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3298927.92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3200947.14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97980.78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948185.62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4097993.54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3298927.92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3200947.14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97980.78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799065.62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799065.62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799065.62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799065.62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799065.62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3298927.92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3298927.92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3200947.14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97980.78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3298927.92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3298927.92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3200947.14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97980.78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149120.00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149120.00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149120.00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149120.00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安全监管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149120.00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149120.00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3200947.14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92350.78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635982.04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5989.90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5630.00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1590754.22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5630.00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165126.40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82563.20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103204.00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7224.28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616093.00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50440.00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8300.88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3200947.14</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97980.78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天津经济技术开发区北部片区管理局2025年度政府性基金预算财政拨款收入支出决算表为空表。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天津经济技术开发区北部片区管理局2025年度国有资本经营预算财政拨款收入支出决算表为空表。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天津经济技术开发区北部片区管理局2025年财政拨款“三公”经费支出决算表为空表。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天津经济技术开发区北部片区管理局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948185.62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948185.62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799065.62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799065.62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799065.62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799065.62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799065.62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799065.62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149120.00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149120.00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149120.00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149120.00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安全监管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149120.00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149120.00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4,247,113.54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增加1,681,356.31元，增长65.53%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本年度有人员调入，人员经费相应增加，同时增加一汽大众华北基地建设PPP项目等相关经费预算，因而本年度收入、支出较上年度增加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一般公共预算财政拨款收入4,247,113.54元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一般公共服务支出4,097,993.54元、灾害防治及应急管理支出149,120.00元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天津经济技术开发区北部片区管理局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4,247,113.54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增加1,681,356.31元，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本年度有人员调入，人员经费相应增加，同时增加一汽大众华北基地建设PPP项目等相关经费预算，因而本年度收入较上年度增加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一般公共预算财政拨款收入4,247,113.54元，占100.00%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天津经济技术开发区北部片区管理局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4,247,113.54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增加1,681,356.31元，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本年度有人员调入，人员经费相应增加，同时增加一汽大众华北基地建设PPP项目等相关经费预算，因而本年度支出较上年度增加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基本支出3,298,927.92元，占77.67%；项目支出948,185.62元，占22.33%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4,247,113.54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增加1,681,356.31元，增长65.53%，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本年度有人员调入，人员经费相应增加，同时增加一汽大众华北基地建设PPP项目等相关经费预算，因而本年度收入、支出总计较上年度增加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一般公共预算财政拨款4,247,113.54元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一般公共服务支出4,097,993.54元、灾害防治及应急管理支出149,120.00元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天津经济技术开发区北部片区管理局2025年度一般公共预算财政拨款支出合计4,247,113.54元，占本年支出合计的100.00%。与2024年度相比，一般公共预算财政拨款支出</w:t>
      </w:r>
      <w:r>
        <w:rPr>
          <w:rFonts w:eastAsia="仿宋_GB2312" w:hint="eastAsia"/>
          <w:sz w:val="30"/>
          <w:szCs w:val="30"/>
          <w:highlight w:val="none"/>
          <w:lang w:val="en-US" w:eastAsia="zh-CN"/>
        </w:rPr>
        <w:t xml:space="preserve">增加1,681,356.31元</w:t>
      </w:r>
      <w:r>
        <w:rPr>
          <w:rFonts w:eastAsia="仿宋_GB2312" w:hint="eastAsia"/>
          <w:sz w:val="30"/>
          <w:szCs w:val="30"/>
          <w:highlight w:val="none"/>
          <w:lang w:val="en-US" w:eastAsia="zh-CN"/>
        </w:rPr>
        <w:t xml:space="preserve">，增长65.53%</w:t>
      </w:r>
      <w:r>
        <w:rPr>
          <w:rFonts w:eastAsia="仿宋_GB2312" w:hint="eastAsia"/>
          <w:sz w:val="30"/>
          <w:szCs w:val="30"/>
          <w:highlight w:val="none"/>
          <w:lang w:val="en-US" w:eastAsia="zh-CN"/>
        </w:rPr>
        <w:t xml:space="preserve">，主要原因是本年度有人员调入，人员经费相应增加，同时增加一汽大众华北基地建设PPP项目等相关经费预算，因而本年度一般公共预算财政拨款支出较上年度增加。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2025年度一般公共预算财政拨款支出4,247,113.54元，主要用于以下方面：</w:t>
      </w:r>
      <w:r>
        <w:rPr>
          <w:rFonts w:eastAsia="仿宋_GB2312" w:hint="eastAsia"/>
          <w:sz w:val="30"/>
          <w:szCs w:val="30"/>
          <w:highlight w:val="none"/>
        </w:rPr>
        <w:t xml:space="preserve">一般公共服务支出（类）支出4,097,993.54元，占96.49%，灾害防治及应急管理支出（类）支出149,120.00元，占3.51%</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2025年度一般公共预算财政拨款支出年初预算为5,113,100.00元，支出决算为4,247,113.54元</w:t>
      </w:r>
      <w:r>
        <w:rPr>
          <w:rFonts w:eastAsia="仿宋_GB2312" w:hint="eastAsia"/>
          <w:sz w:val="30"/>
          <w:szCs w:val="30"/>
          <w:highlight w:val="none"/>
          <w:lang w:val="en-US" w:eastAsia="zh-CN"/>
        </w:rPr>
        <w:t xml:space="preserve">，完成年初预算的83.06%</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900,000.00元，支出决算为799,065.62元，完成年初预算的88.79%，决算数小于年初预算数的主要原因是：按照项目履约进度，部分项目未达到合同约定付款条件，支出较预算数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商贸事务（款）行政运行（项）年初预算为4,213,100.00元，支出决算为3,298,927.92元，完成年初预算的78.30%，决算数小于年初预算数的主要原因是：从严从紧管控一般性支出，压减非刚性支出，同时优化调整部分公务活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3.灾害防治及应急管理支出（类）应急管理事务（款）安全监管（项）年初预算为0.00元，支出决算为149,120.00元，决算数大于年初预算数的主要原因是：年中追加安全生产类专项经费预算并支出。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天津经济技术开发区北部片区管理局2025年度一般公共预算财政拨款基本支出合计3,298,927.92元，与2024年度相比</w:t>
      </w:r>
      <w:r>
        <w:rPr>
          <w:rFonts w:eastAsia="仿宋_GB2312" w:hint="eastAsia"/>
          <w:sz w:val="30"/>
          <w:szCs w:val="30"/>
          <w:highlight w:val="none"/>
          <w:lang w:val="en-US" w:eastAsia="zh-CN"/>
        </w:rPr>
        <w:t xml:space="preserve">增加966,201.26元，</w:t>
      </w:r>
      <w:r>
        <w:rPr>
          <w:rFonts w:eastAsia="仿宋_GB2312" w:hint="eastAsia"/>
          <w:sz w:val="30"/>
          <w:szCs w:val="30"/>
          <w:highlight w:val="none"/>
          <w:lang w:val="en-US" w:eastAsia="zh-CN"/>
        </w:rPr>
        <w:t xml:space="preserve">主要原因是人员调入，人员类相关经费支出增加。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人员经费3,200,947.14元，主要包括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公用经费97,980.78元，主要包括</w:t>
      </w:r>
      <w:r>
        <w:rPr>
          <w:rFonts w:eastAsia="仿宋_GB2312" w:hint="eastAsia"/>
          <w:sz w:val="30"/>
          <w:szCs w:val="30"/>
          <w:highlight w:val="none"/>
          <w:lang w:val="en-US" w:eastAsia="zh-CN"/>
        </w:rPr>
        <w:t xml:space="preserve">办公费、差旅费、培训费、其他交通费用、其他商品和服务支出、办公设备购置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北部片区管理局2025年度机关运行经费年初预算116,700.00元，决算数97,980.78元，与年初预算相比</w:t>
      </w:r>
      <w:r>
        <w:rPr>
          <w:rFonts w:eastAsia="仿宋_GB2312" w:hint="eastAsia"/>
          <w:sz w:val="30"/>
          <w:szCs w:val="30"/>
          <w:highlight w:val="none"/>
          <w:lang w:val="en-US" w:eastAsia="zh-CN"/>
        </w:rPr>
        <w:t xml:space="preserve">减少18,719.22元，</w:t>
      </w:r>
      <w:r>
        <w:rPr>
          <w:rFonts w:eastAsia="仿宋_GB2312" w:hint="eastAsia"/>
          <w:sz w:val="30"/>
          <w:szCs w:val="30"/>
          <w:highlight w:val="none"/>
          <w:lang w:val="en-US" w:eastAsia="zh-CN"/>
        </w:rPr>
        <w:t xml:space="preserve">完成年初预算的83.96%；</w:t>
      </w:r>
      <w:r>
        <w:rPr>
          <w:rFonts w:eastAsia="仿宋_GB2312" w:hint="eastAsia"/>
          <w:sz w:val="30"/>
          <w:szCs w:val="30"/>
          <w:highlight w:val="none"/>
          <w:lang w:val="en-US" w:eastAsia="zh-CN"/>
        </w:rPr>
        <w:t xml:space="preserve">比2024年增加40,387.78元</w:t>
      </w:r>
      <w:r>
        <w:rPr>
          <w:rFonts w:eastAsia="仿宋_GB2312" w:hint="eastAsia"/>
          <w:sz w:val="30"/>
          <w:szCs w:val="30"/>
          <w:highlight w:val="none"/>
          <w:lang w:val="en-US" w:eastAsia="zh-CN"/>
        </w:rPr>
        <w:t xml:space="preserve">，增长70.13%</w:t>
      </w:r>
      <w:r>
        <w:rPr>
          <w:rFonts w:eastAsia="仿宋_GB2312" w:hint="eastAsia"/>
          <w:sz w:val="30"/>
          <w:szCs w:val="30"/>
          <w:highlight w:val="none"/>
          <w:lang w:val="en-US" w:eastAsia="zh-CN"/>
        </w:rPr>
        <w:t xml:space="preserve">。主要原因是：本年度严控支出，压减非刚性支出，较年初预算数减少。同时因人员调入，相关办公费用增加，因此较上年数有所增加。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2025年政府采购支出总额1,661,619.90元，其中：政府采购货物支出11,619.90元、政府采购工程支出0.00元、政府采购服务支出1,650,000.00元。授予中小企业合同金额1,650,000.00元，占政府采购支出总额的99.30%，其中：授予小微企业合同金额1,650,000.00元，占政府采购支出总额的99.30%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天津经济技术开发区北部片区管理局2025年度无国有资产占有使用情况。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根据预算绩效管理要求，天津经济技术开发区北部片区管理局已对3个2025年度区级项目开展绩效自评，涉及金额1,200,000.00元，自评结果已随部门决算一并公开。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天津经济技术开发区北部片区管理局不属于乡、镇、街级单位，不涉及公开2025年度教育、医疗卫生、社会保障和就业、住房保障、涉农补贴等民生支出情况。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B01D20E2-BD52-49C9-980A-6C22ADDBB206}"/>
    <w:embedBold r:id="rId2" w:subsetted="1" w:fontKey="{B253BE00-9164-456C-8E81-9E7B339D894A}"/>
  </w:font>
  <w:font w:name="Cambria">
    <w:panose1 w:val="02040503050406030204"/>
    <w:charset w:val="00"/>
    <w:family w:val="roman"/>
    <w:pitch w:val="default"/>
    <w:sig w:usb0="E00006FF" w:usb1="420024FF" w:usb2="02000000" w:usb3="00000000" w:csb0="2000019F" w:csb1="00000000"/>
    <w:embedRegular r:id="rId3" w:fontKey="{EB86E3A3-AD56-4A82-8523-C4D53187379A}"/>
  </w:font>
  <w:font w:name="Calibri">
    <w:panose1 w:val="020F0502020204030204"/>
    <w:charset w:val="00"/>
    <w:family w:val="swiss"/>
    <w:pitch w:val="default"/>
    <w:sig w:usb0="E4002EFF" w:usb1="C200247B" w:usb2="00000009" w:usb3="00000000" w:csb0="200001FF" w:csb1="00000000"/>
    <w:embedRegular r:id="rId4" w:fontKey="{85F08E78-0C2A-45C1-92A9-A11BCDCFF435}"/>
  </w:font>
  <w:font w:name="黑体">
    <w:panose1 w:val="02010609060101010101"/>
    <w:charset w:val="FFFFFF86"/>
    <w:family w:val="auto"/>
    <w:pitch w:val="default"/>
    <w:sig w:usb0="800002BF" w:usb1="38CF7CFA" w:usb2="00000016" w:usb3="00000000" w:csb0="00040001" w:csb1="00000000"/>
    <w:embedRegular r:id="rId5" w:subsetted="1" w:fontKey="{43493499-9EC8-4F0A-A5DD-944297DECD83}"/>
    <w:embedBold r:id="rId6" w:subsetted="1" w:fontKey="{EEFABB3F-0046-40B9-BFE3-45CAF42A2507}"/>
  </w:font>
  <w:font w:name="方正小标宋简体">
    <w:altName w:val="黑体"/>
    <w:panose1 w:val="02000000000000000000"/>
    <w:charset w:val="FFFFFF86"/>
    <w:family w:val="auto"/>
    <w:pitch w:val="default"/>
    <w:sig w:usb0="00000001" w:usb1="08000000" w:usb2="00000000" w:usb3="00000000" w:csb0="00040000" w:csb1="00000000"/>
    <w:embedRegular r:id="rId7" w:fontKey="{31980BE9-7E1A-4E4D-941A-B438B0474F25}"/>
    <w:embedBold r:id="rId8" w:fontKey="{8DFDF2A8-E065-49A1-BB55-28974C06A856}"/>
  </w:font>
  <w:font w:name="仿宋">
    <w:panose1 w:val="02010609060101010101"/>
    <w:charset w:val="FFFFFF86"/>
    <w:family w:val="auto"/>
    <w:pitch w:val="default"/>
    <w:sig w:usb0="800002BF" w:usb1="38CF7CFA" w:usb2="00000016" w:usb3="00000000" w:csb0="00040001" w:csb1="00000000"/>
    <w:embedRegular r:id="rId9" w:subsetted="1" w:fontKey="{3850A660-EB21-4C78-84F6-E8C1FD2B89CA}"/>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93BBFC26-D4D8-4342-9695-791FF57EEA4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0787A1CD-5EC3-4CD2-9A2F-2AE96F84D6F5}"/>
    <w:embedBold r:id="rId12" w:subsetted="1" w:fontKey="{79B29AE4-A62A-4E0E-990C-0B893D78C2FA}"/>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