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9FA199">
      <w:pPr>
        <w:spacing w:line="580" w:lineRule="exact"/>
        <w:jc w:val="center"/>
        <w:rPr>
          <w:rFonts w:eastAsia="黑体"/>
          <w:w w:val="95"/>
          <w:sz w:val="44"/>
          <w:szCs w:val="44"/>
        </w:rPr>
      </w:pPr>
      <w:bookmarkStart w:id="30" w:name="_GoBack"/>
      <w:bookmarkEnd w:id="30"/>
    </w:p>
    <w:p w14:paraId="4DE9070E">
      <w:pPr>
        <w:spacing w:line="580" w:lineRule="exact"/>
        <w:jc w:val="center"/>
        <w:rPr>
          <w:rFonts w:eastAsia="黑体"/>
          <w:w w:val="95"/>
          <w:sz w:val="44"/>
          <w:szCs w:val="44"/>
        </w:rPr>
      </w:pPr>
    </w:p>
    <w:p w14:paraId="234FBE03">
      <w:pPr>
        <w:spacing w:line="580" w:lineRule="exact"/>
        <w:jc w:val="center"/>
        <w:rPr>
          <w:rFonts w:eastAsia="黑体"/>
          <w:w w:val="95"/>
          <w:sz w:val="44"/>
          <w:szCs w:val="44"/>
        </w:rPr>
      </w:pPr>
    </w:p>
    <w:p w14:paraId="4A01DAC2">
      <w:pPr>
        <w:spacing w:line="580" w:lineRule="exact"/>
        <w:jc w:val="center"/>
        <w:rPr>
          <w:rFonts w:eastAsia="黑体"/>
          <w:w w:val="95"/>
          <w:sz w:val="44"/>
          <w:szCs w:val="44"/>
        </w:rPr>
      </w:pPr>
    </w:p>
    <w:p w14:paraId="49995E88">
      <w:pPr>
        <w:spacing w:line="580" w:lineRule="exact"/>
        <w:jc w:val="center"/>
        <w:rPr>
          <w:rFonts w:eastAsia="黑体"/>
          <w:w w:val="95"/>
          <w:sz w:val="44"/>
          <w:szCs w:val="44"/>
        </w:rPr>
      </w:pPr>
    </w:p>
    <w:p w14:paraId="30CB6AFF">
      <w:pPr>
        <w:spacing w:line="580" w:lineRule="exact"/>
        <w:jc w:val="center"/>
        <w:rPr>
          <w:rFonts w:eastAsia="黑体"/>
          <w:w w:val="95"/>
          <w:sz w:val="44"/>
          <w:szCs w:val="44"/>
        </w:rPr>
      </w:pPr>
    </w:p>
    <w:p w14:paraId="6D5430D9">
      <w:pPr>
        <w:spacing w:line="580" w:lineRule="exact"/>
        <w:jc w:val="center"/>
        <w:rPr>
          <w:rFonts w:eastAsia="黑体"/>
          <w:w w:val="95"/>
          <w:sz w:val="44"/>
          <w:szCs w:val="44"/>
        </w:rPr>
      </w:pPr>
    </w:p>
    <w:p w14:paraId="2B1AF05E">
      <w:pPr>
        <w:spacing w:line="580" w:lineRule="exact"/>
        <w:jc w:val="center"/>
        <w:rPr>
          <w:rFonts w:eastAsia="黑体"/>
          <w:w w:val="95"/>
          <w:sz w:val="44"/>
          <w:szCs w:val="44"/>
        </w:rPr>
      </w:pPr>
    </w:p>
    <w:p w14:paraId="7624F1E8">
      <w:pPr>
        <w:spacing w:line="580" w:lineRule="exact"/>
        <w:jc w:val="center"/>
        <w:rPr>
          <w:rFonts w:eastAsia="黑体"/>
          <w:w w:val="95"/>
          <w:sz w:val="44"/>
          <w:szCs w:val="44"/>
        </w:rPr>
      </w:pPr>
    </w:p>
    <w:p w14:paraId="5D8AF48B">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天津经济技术开发区南港工业区产业促进办公室</w:t>
      </w:r>
    </w:p>
    <w:p w14:paraId="16C080F5">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2EC82C3A">
      <w:pPr>
        <w:spacing w:line="580" w:lineRule="exact"/>
        <w:jc w:val="center"/>
        <w:rPr>
          <w:rFonts w:hint="eastAsia" w:ascii="黑体" w:eastAsia="黑体"/>
          <w:sz w:val="30"/>
          <w:szCs w:val="30"/>
        </w:rPr>
      </w:pPr>
    </w:p>
    <w:p w14:paraId="12929D9F">
      <w:pPr>
        <w:spacing w:line="580" w:lineRule="exact"/>
        <w:jc w:val="center"/>
        <w:rPr>
          <w:rFonts w:hint="eastAsia" w:ascii="黑体" w:eastAsia="黑体"/>
          <w:sz w:val="30"/>
          <w:szCs w:val="30"/>
        </w:rPr>
      </w:pPr>
    </w:p>
    <w:p w14:paraId="55C53901">
      <w:pPr>
        <w:spacing w:line="580" w:lineRule="exact"/>
        <w:jc w:val="center"/>
        <w:rPr>
          <w:rFonts w:hint="eastAsia" w:ascii="黑体" w:eastAsia="黑体"/>
          <w:sz w:val="30"/>
          <w:szCs w:val="30"/>
        </w:rPr>
      </w:pPr>
    </w:p>
    <w:p w14:paraId="5BDB43E8">
      <w:pPr>
        <w:spacing w:line="580" w:lineRule="exact"/>
        <w:jc w:val="center"/>
        <w:rPr>
          <w:rFonts w:hint="eastAsia" w:ascii="黑体" w:eastAsia="黑体"/>
          <w:sz w:val="30"/>
          <w:szCs w:val="30"/>
        </w:rPr>
      </w:pPr>
    </w:p>
    <w:p w14:paraId="5D9B5834">
      <w:pPr>
        <w:spacing w:line="580" w:lineRule="exact"/>
        <w:jc w:val="center"/>
        <w:rPr>
          <w:rFonts w:hint="eastAsia" w:ascii="黑体" w:eastAsia="黑体"/>
          <w:sz w:val="30"/>
          <w:szCs w:val="30"/>
        </w:rPr>
      </w:pPr>
    </w:p>
    <w:p w14:paraId="45744287">
      <w:pPr>
        <w:spacing w:line="580" w:lineRule="exact"/>
        <w:jc w:val="center"/>
        <w:rPr>
          <w:rFonts w:hint="eastAsia" w:ascii="黑体" w:eastAsia="黑体"/>
          <w:sz w:val="30"/>
          <w:szCs w:val="30"/>
        </w:rPr>
      </w:pPr>
    </w:p>
    <w:p w14:paraId="21F409F1">
      <w:pPr>
        <w:spacing w:line="580" w:lineRule="exact"/>
        <w:jc w:val="center"/>
        <w:rPr>
          <w:rFonts w:hint="eastAsia" w:ascii="黑体" w:eastAsia="黑体"/>
          <w:sz w:val="30"/>
          <w:szCs w:val="30"/>
        </w:rPr>
      </w:pPr>
    </w:p>
    <w:p w14:paraId="70D15612">
      <w:pPr>
        <w:spacing w:line="580" w:lineRule="exact"/>
        <w:jc w:val="center"/>
        <w:rPr>
          <w:rFonts w:hint="eastAsia" w:ascii="黑体" w:eastAsia="黑体"/>
          <w:sz w:val="30"/>
          <w:szCs w:val="30"/>
        </w:rPr>
      </w:pPr>
    </w:p>
    <w:p w14:paraId="57E85C2B">
      <w:pPr>
        <w:spacing w:line="580" w:lineRule="exact"/>
        <w:jc w:val="center"/>
        <w:rPr>
          <w:rFonts w:hint="eastAsia" w:ascii="黑体" w:eastAsia="黑体"/>
          <w:sz w:val="30"/>
          <w:szCs w:val="30"/>
        </w:rPr>
      </w:pPr>
    </w:p>
    <w:p w14:paraId="1A1A3DFF">
      <w:pPr>
        <w:spacing w:line="580" w:lineRule="exact"/>
        <w:jc w:val="center"/>
        <w:rPr>
          <w:rFonts w:hint="eastAsia" w:ascii="黑体" w:eastAsia="黑体"/>
          <w:sz w:val="30"/>
          <w:szCs w:val="30"/>
        </w:rPr>
      </w:pPr>
    </w:p>
    <w:p w14:paraId="08F55AD2">
      <w:pPr>
        <w:spacing w:line="600" w:lineRule="exact"/>
        <w:jc w:val="center"/>
        <w:rPr>
          <w:rFonts w:hint="eastAsia" w:ascii="黑体" w:eastAsia="黑体"/>
          <w:sz w:val="44"/>
          <w:szCs w:val="44"/>
          <w:highlight w:val="none"/>
        </w:rPr>
      </w:pPr>
    </w:p>
    <w:p w14:paraId="32449BD3">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D741263">
      <w:pPr>
        <w:spacing w:line="600" w:lineRule="exact"/>
        <w:rPr>
          <w:rFonts w:hint="eastAsia" w:ascii="黑体" w:eastAsia="黑体"/>
          <w:sz w:val="30"/>
          <w:szCs w:val="30"/>
          <w:highlight w:val="none"/>
        </w:rPr>
      </w:pPr>
    </w:p>
    <w:p w14:paraId="01284863">
      <w:pPr>
        <w:pStyle w:val="9"/>
        <w:tabs>
          <w:tab w:val="right" w:leader="dot" w:pos="8306"/>
          <w:tab w:val="clear" w:pos="8296"/>
        </w:tabs>
        <w:spacing w:after="0" w:line="700" w:lineRule="exact"/>
        <w:rPr>
          <w:rFonts w:hint="eastAsia" w:ascii="Times New Roman" w:hAnsi="Times New Roman" w:eastAsia="仿宋_GB2312" w:cs="Times New Roman"/>
          <w:sz w:val="30"/>
          <w:szCs w:val="30"/>
          <w:highlight w:val="none"/>
          <w:lang w:val="en-US" w:eastAsia="zh-CN"/>
        </w:rPr>
      </w:pPr>
      <w:r>
        <w:rPr>
          <w:rFonts w:ascii="Times New Roman" w:hAnsi="Times New Roman" w:eastAsia="仿宋_GB2312" w:cs="Times New Roman"/>
          <w:sz w:val="30"/>
          <w:szCs w:val="30"/>
          <w:highlight w:val="none"/>
        </w:rPr>
        <w:fldChar w:fldCharType="begin"/>
      </w:r>
      <w:r>
        <w:rPr>
          <w:rFonts w:ascii="Times New Roman" w:hAnsi="Times New Roman" w:eastAsia="仿宋_GB2312" w:cs="Times New Roman"/>
          <w:sz w:val="30"/>
          <w:szCs w:val="30"/>
          <w:highlight w:val="none"/>
        </w:rPr>
        <w:instrText xml:space="preserve"> TOC \o "1-3" \h \z \u </w:instrText>
      </w:r>
      <w:r>
        <w:rPr>
          <w:rFonts w:ascii="Times New Roman" w:hAnsi="Times New Roman" w:eastAsia="仿宋_GB2312" w:cs="Times New Roman"/>
          <w:sz w:val="30"/>
          <w:szCs w:val="30"/>
          <w:highlight w:val="none"/>
        </w:rPr>
        <w:fldChar w:fldCharType="separate"/>
      </w:r>
      <w:r>
        <w:rPr>
          <w:rFonts w:ascii="Times New Roman" w:hAnsi="Times New Roman" w:eastAsia="方正小标宋简体" w:cs="Times New Roman"/>
          <w:sz w:val="30"/>
          <w:szCs w:val="30"/>
          <w:highlight w:val="none"/>
        </w:rPr>
        <w:fldChar w:fldCharType="begin"/>
      </w:r>
      <w:r>
        <w:rPr>
          <w:rFonts w:ascii="Times New Roman" w:hAnsi="Times New Roman" w:eastAsia="方正小标宋简体" w:cs="Times New Roman"/>
          <w:sz w:val="30"/>
          <w:szCs w:val="30"/>
          <w:highlight w:val="none"/>
        </w:rPr>
        <w:instrText xml:space="preserve"> HYPERLINK \l _Toc6506 </w:instrText>
      </w:r>
      <w:r>
        <w:rPr>
          <w:rFonts w:ascii="Times New Roman" w:hAnsi="Times New Roman" w:eastAsia="方正小标宋简体" w:cs="Times New Roman"/>
          <w:sz w:val="30"/>
          <w:szCs w:val="30"/>
          <w:highlight w:val="none"/>
        </w:rPr>
        <w:fldChar w:fldCharType="separate"/>
      </w:r>
      <w:r>
        <w:rPr>
          <w:rFonts w:ascii="Times New Roman" w:hAnsi="Times New Roman" w:eastAsia="方正小标宋简体" w:cs="Times New Roman"/>
          <w:sz w:val="30"/>
          <w:szCs w:val="30"/>
          <w:highlight w:val="none"/>
        </w:rPr>
        <w:t>第一部分  概 况</w:t>
      </w:r>
      <w:r>
        <w:rPr>
          <w:rFonts w:ascii="Times New Roman" w:hAnsi="Times New Roman" w:eastAsia="方正小标宋简体" w:cs="Times New Roman"/>
          <w:sz w:val="30"/>
          <w:szCs w:val="30"/>
          <w:highlight w:val="none"/>
        </w:rPr>
        <w:fldChar w:fldCharType="end"/>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p>
    <w:p w14:paraId="6E82AF18">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_Toc9987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一、主要职责</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p>
    <w:p w14:paraId="54BE64C8">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_Toc26464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二、机构设置</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p>
    <w:p w14:paraId="368A4BBF">
      <w:pPr>
        <w:pStyle w:val="9"/>
        <w:tabs>
          <w:tab w:val="right" w:leader="dot" w:pos="8306"/>
          <w:tab w:val="clear" w:pos="8296"/>
        </w:tabs>
        <w:spacing w:after="0" w:line="700" w:lineRule="exact"/>
        <w:rPr>
          <w:rFonts w:hint="eastAsia" w:ascii="Times New Roman" w:hAnsi="Times New Roman" w:eastAsia="仿宋_GB2312" w:cs="Times New Roman"/>
          <w:sz w:val="30"/>
          <w:szCs w:val="30"/>
          <w:highlight w:val="none"/>
          <w:lang w:val="en-US" w:eastAsia="zh-CN"/>
        </w:rPr>
      </w:pPr>
      <w:r>
        <w:rPr>
          <w:rFonts w:ascii="Times New Roman" w:hAnsi="Times New Roman" w:eastAsia="方正小标宋简体" w:cs="Times New Roman"/>
          <w:sz w:val="30"/>
          <w:szCs w:val="30"/>
          <w:highlight w:val="none"/>
        </w:rPr>
        <w:fldChar w:fldCharType="begin"/>
      </w:r>
      <w:r>
        <w:rPr>
          <w:rFonts w:ascii="Times New Roman" w:hAnsi="Times New Roman" w:eastAsia="方正小标宋简体" w:cs="Times New Roman"/>
          <w:sz w:val="30"/>
          <w:szCs w:val="30"/>
          <w:highlight w:val="none"/>
        </w:rPr>
        <w:instrText xml:space="preserve"> HYPERLINK \l _Toc30850 </w:instrText>
      </w:r>
      <w:r>
        <w:rPr>
          <w:rFonts w:ascii="Times New Roman" w:hAnsi="Times New Roman" w:eastAsia="方正小标宋简体" w:cs="Times New Roman"/>
          <w:sz w:val="30"/>
          <w:szCs w:val="30"/>
          <w:highlight w:val="none"/>
        </w:rPr>
        <w:fldChar w:fldCharType="separate"/>
      </w:r>
      <w:r>
        <w:rPr>
          <w:rFonts w:ascii="Times New Roman" w:hAnsi="Times New Roman" w:eastAsia="方正小标宋简体" w:cs="Times New Roman"/>
          <w:sz w:val="30"/>
          <w:szCs w:val="30"/>
          <w:highlight w:val="none"/>
        </w:rPr>
        <w:t xml:space="preserve">第二部分  </w:t>
      </w:r>
      <w:r>
        <w:rPr>
          <w:rFonts w:hint="eastAsia" w:ascii="Times New Roman" w:hAnsi="Times New Roman" w:eastAsia="方正小标宋简体" w:cs="Times New Roman"/>
          <w:sz w:val="30"/>
          <w:szCs w:val="30"/>
          <w:highlight w:val="none"/>
          <w:lang w:eastAsia="zh-CN"/>
        </w:rPr>
        <w:t>202</w:t>
      </w:r>
      <w:r>
        <w:rPr>
          <w:rFonts w:hint="eastAsia" w:ascii="Times New Roman" w:hAnsi="Times New Roman" w:eastAsia="方正小标宋简体" w:cs="Times New Roman"/>
          <w:sz w:val="30"/>
          <w:szCs w:val="30"/>
          <w:highlight w:val="none"/>
          <w:lang w:val="en-US" w:eastAsia="zh-CN"/>
        </w:rPr>
        <w:t>5</w:t>
      </w:r>
      <w:r>
        <w:rPr>
          <w:rFonts w:ascii="Times New Roman" w:hAnsi="Times New Roman" w:eastAsia="方正小标宋简体" w:cs="Times New Roman"/>
          <w:sz w:val="30"/>
          <w:szCs w:val="30"/>
          <w:highlight w:val="none"/>
        </w:rPr>
        <w:t>年度部门决算表</w:t>
      </w:r>
      <w:r>
        <w:rPr>
          <w:rFonts w:ascii="Times New Roman" w:hAnsi="Times New Roman" w:eastAsia="方正小标宋简体" w:cs="Times New Roman"/>
          <w:sz w:val="30"/>
          <w:szCs w:val="30"/>
          <w:highlight w:val="none"/>
        </w:rPr>
        <w:fldChar w:fldCharType="end"/>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p>
    <w:p w14:paraId="140D1A2F">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_Toc25952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一、收入支出决算总表</w:t>
      </w:r>
      <w:r>
        <w:rPr>
          <w:rFonts w:ascii="Times New Roman" w:hAnsi="Times New Roman" w:eastAsia="仿宋_GB2312"/>
          <w:sz w:val="30"/>
          <w:szCs w:val="30"/>
          <w:highlight w:val="none"/>
        </w:rPr>
        <w:tab/>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2</w:t>
      </w:r>
    </w:p>
    <w:p w14:paraId="2626CBD9">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_Toc14631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二、收入决算表（按功能分类列示）</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3</w:t>
      </w:r>
      <w:r>
        <w:rPr>
          <w:rFonts w:ascii="Times New Roman" w:hAnsi="Times New Roman" w:eastAsia="仿宋_GB2312"/>
          <w:sz w:val="30"/>
          <w:szCs w:val="30"/>
          <w:highlight w:val="none"/>
        </w:rPr>
        <w:fldChar w:fldCharType="end"/>
      </w:r>
    </w:p>
    <w:p w14:paraId="23986ECE">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_Toc15648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三、收入决算表（按单位列示）</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4</w:t>
      </w:r>
      <w:r>
        <w:rPr>
          <w:rFonts w:ascii="Times New Roman" w:hAnsi="Times New Roman" w:eastAsia="仿宋_GB2312"/>
          <w:sz w:val="30"/>
          <w:szCs w:val="30"/>
          <w:highlight w:val="none"/>
        </w:rPr>
        <w:fldChar w:fldCharType="end"/>
      </w:r>
    </w:p>
    <w:p w14:paraId="3276CDE5">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_Toc2044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四、支出决算表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5</w:t>
      </w:r>
      <w:r>
        <w:rPr>
          <w:rFonts w:ascii="Times New Roman" w:hAnsi="Times New Roman" w:eastAsia="仿宋_GB2312"/>
          <w:sz w:val="30"/>
          <w:szCs w:val="30"/>
          <w:highlight w:val="none"/>
        </w:rPr>
        <w:fldChar w:fldCharType="end"/>
      </w:r>
    </w:p>
    <w:p w14:paraId="138D5BF5">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_Toc25856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五、财政拨款收入支出决算总表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6</w:t>
      </w:r>
      <w:r>
        <w:rPr>
          <w:rFonts w:ascii="Times New Roman" w:hAnsi="Times New Roman" w:eastAsia="仿宋_GB2312"/>
          <w:sz w:val="30"/>
          <w:szCs w:val="30"/>
          <w:highlight w:val="none"/>
        </w:rPr>
        <w:fldChar w:fldCharType="end"/>
      </w:r>
    </w:p>
    <w:p w14:paraId="3B4FBEA7">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_Toc3929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六、一般公共预算财政拨款支出决算表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7</w:t>
      </w:r>
      <w:r>
        <w:rPr>
          <w:rFonts w:ascii="Times New Roman" w:hAnsi="Times New Roman" w:eastAsia="仿宋_GB2312"/>
          <w:sz w:val="30"/>
          <w:szCs w:val="30"/>
          <w:highlight w:val="none"/>
        </w:rPr>
        <w:fldChar w:fldCharType="end"/>
      </w:r>
    </w:p>
    <w:p w14:paraId="5CAA7B80">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_Toc7568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七、一般公共预算财政拨款基本支出决算表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8</w:t>
      </w:r>
      <w:r>
        <w:rPr>
          <w:rFonts w:ascii="Times New Roman" w:hAnsi="Times New Roman" w:eastAsia="仿宋_GB2312"/>
          <w:sz w:val="30"/>
          <w:szCs w:val="30"/>
          <w:highlight w:val="none"/>
        </w:rPr>
        <w:fldChar w:fldCharType="end"/>
      </w:r>
    </w:p>
    <w:p w14:paraId="3D7B9DFD">
      <w:pPr>
        <w:pStyle w:val="10"/>
        <w:tabs>
          <w:tab w:val="right" w:leader="dot" w:pos="8306"/>
        </w:tabs>
        <w:spacing w:after="0" w:line="700" w:lineRule="exact"/>
        <w:rPr>
          <w:rFonts w:ascii="Times New Roman" w:hAnsi="Times New Roman" w:eastAsia="仿宋_GB2312"/>
          <w:sz w:val="30"/>
          <w:szCs w:val="30"/>
          <w:highlight w:val="none"/>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_Toc25187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八</w:t>
      </w:r>
      <w:r>
        <w:rPr>
          <w:rFonts w:ascii="Times New Roman" w:hAnsi="Times New Roman" w:eastAsia="仿宋_GB2312"/>
          <w:sz w:val="30"/>
          <w:szCs w:val="30"/>
          <w:highlight w:val="none"/>
        </w:rPr>
        <w:t>、政府性基金预算财政拨款收入支出决算表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9</w:t>
      </w:r>
      <w:r>
        <w:rPr>
          <w:rFonts w:ascii="Times New Roman" w:hAnsi="Times New Roman" w:eastAsia="仿宋_GB2312"/>
          <w:sz w:val="30"/>
          <w:szCs w:val="30"/>
          <w:highlight w:val="none"/>
        </w:rPr>
        <w:fldChar w:fldCharType="end"/>
      </w:r>
    </w:p>
    <w:p w14:paraId="784C66EE">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_Toc21022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九</w:t>
      </w:r>
      <w:r>
        <w:rPr>
          <w:rFonts w:ascii="Times New Roman" w:hAnsi="Times New Roman" w:eastAsia="仿宋_GB2312"/>
          <w:sz w:val="30"/>
          <w:szCs w:val="30"/>
          <w:highlight w:val="none"/>
        </w:rPr>
        <w:t>、国有资本经营预算财政拨款收入支出决算表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0</w:t>
      </w:r>
    </w:p>
    <w:p w14:paraId="27080726">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_Toc7181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十</w:t>
      </w:r>
      <w:r>
        <w:rPr>
          <w:rFonts w:ascii="Times New Roman" w:hAnsi="Times New Roman" w:eastAsia="仿宋_GB2312"/>
          <w:sz w:val="30"/>
          <w:szCs w:val="30"/>
          <w:highlight w:val="none"/>
        </w:rPr>
        <w:t>、财政拨款“三公”经费支出决算表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1</w:t>
      </w:r>
    </w:p>
    <w:p w14:paraId="2FA6CBD3">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_Toc11621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w:t>
      </w:r>
      <w:r>
        <w:rPr>
          <w:rFonts w:hint="eastAsia" w:ascii="Times New Roman" w:hAnsi="Times New Roman" w:eastAsia="仿宋_GB2312"/>
          <w:sz w:val="30"/>
          <w:szCs w:val="30"/>
          <w:highlight w:val="none"/>
          <w:lang w:eastAsia="zh-CN"/>
        </w:rPr>
        <w:t>一</w:t>
      </w:r>
      <w:r>
        <w:rPr>
          <w:rFonts w:ascii="Times New Roman" w:hAnsi="Times New Roman" w:eastAsia="仿宋_GB2312"/>
          <w:sz w:val="30"/>
          <w:szCs w:val="30"/>
          <w:highlight w:val="none"/>
        </w:rPr>
        <w:t>、项目支出决算表</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2</w:t>
      </w:r>
    </w:p>
    <w:p w14:paraId="5C06ED7D">
      <w:pPr>
        <w:pStyle w:val="9"/>
        <w:tabs>
          <w:tab w:val="right" w:leader="dot" w:pos="8306"/>
          <w:tab w:val="clear" w:pos="8296"/>
        </w:tabs>
        <w:spacing w:after="0" w:line="700" w:lineRule="exact"/>
        <w:rPr>
          <w:rFonts w:ascii="Times New Roman" w:hAnsi="Times New Roman" w:eastAsia="方正小标宋简体" w:cs="Times New Roman"/>
          <w:sz w:val="30"/>
          <w:szCs w:val="30"/>
          <w:highlight w:val="none"/>
        </w:rPr>
        <w:sectPr>
          <w:pgSz w:w="11906" w:h="16838"/>
          <w:pgMar w:top="1440" w:right="1800" w:bottom="1440" w:left="1800" w:header="851" w:footer="992" w:gutter="0"/>
          <w:pgNumType w:start="1"/>
          <w:cols w:space="720" w:num="1"/>
          <w:docGrid w:type="lines" w:linePitch="312" w:charSpace="0"/>
        </w:sectPr>
      </w:pPr>
    </w:p>
    <w:p w14:paraId="50B1F69E">
      <w:pPr>
        <w:pStyle w:val="9"/>
        <w:tabs>
          <w:tab w:val="right" w:leader="dot" w:pos="8306"/>
          <w:tab w:val="clear" w:pos="8296"/>
        </w:tabs>
        <w:spacing w:after="0" w:line="700" w:lineRule="exact"/>
        <w:rPr>
          <w:rFonts w:hint="eastAsia" w:ascii="Times New Roman" w:hAnsi="Times New Roman" w:eastAsia="方正小标宋简体" w:cs="Times New Roman"/>
          <w:sz w:val="30"/>
          <w:szCs w:val="30"/>
          <w:highlight w:val="none"/>
          <w:lang w:val="en-US" w:eastAsia="zh-CN"/>
        </w:rPr>
      </w:pPr>
      <w:r>
        <w:rPr>
          <w:rFonts w:ascii="Times New Roman" w:hAnsi="Times New Roman" w:eastAsia="方正小标宋简体" w:cs="Times New Roman"/>
          <w:sz w:val="30"/>
          <w:szCs w:val="30"/>
          <w:highlight w:val="none"/>
        </w:rPr>
        <w:fldChar w:fldCharType="begin"/>
      </w:r>
      <w:r>
        <w:rPr>
          <w:rFonts w:ascii="Times New Roman" w:hAnsi="Times New Roman" w:eastAsia="方正小标宋简体" w:cs="Times New Roman"/>
          <w:sz w:val="30"/>
          <w:szCs w:val="30"/>
          <w:highlight w:val="none"/>
        </w:rPr>
        <w:instrText xml:space="preserve"> HYPERLINK \l _Toc20137 </w:instrText>
      </w:r>
      <w:r>
        <w:rPr>
          <w:rFonts w:ascii="Times New Roman" w:hAnsi="Times New Roman" w:eastAsia="方正小标宋简体" w:cs="Times New Roman"/>
          <w:sz w:val="30"/>
          <w:szCs w:val="30"/>
          <w:highlight w:val="none"/>
        </w:rPr>
        <w:fldChar w:fldCharType="separate"/>
      </w:r>
      <w:r>
        <w:rPr>
          <w:rFonts w:ascii="Times New Roman" w:hAnsi="Times New Roman" w:eastAsia="方正小标宋简体" w:cs="Times New Roman"/>
          <w:sz w:val="30"/>
          <w:szCs w:val="30"/>
          <w:highlight w:val="none"/>
        </w:rPr>
        <w:t xml:space="preserve">第三部分  </w:t>
      </w:r>
      <w:r>
        <w:rPr>
          <w:rFonts w:hint="eastAsia" w:ascii="Times New Roman" w:hAnsi="Times New Roman" w:eastAsia="方正小标宋简体" w:cs="Times New Roman"/>
          <w:sz w:val="30"/>
          <w:szCs w:val="30"/>
          <w:highlight w:val="none"/>
          <w:lang w:eastAsia="zh-CN"/>
        </w:rPr>
        <w:t>202</w:t>
      </w:r>
      <w:r>
        <w:rPr>
          <w:rFonts w:hint="eastAsia" w:ascii="Times New Roman" w:hAnsi="Times New Roman" w:eastAsia="方正小标宋简体" w:cs="Times New Roman"/>
          <w:sz w:val="30"/>
          <w:szCs w:val="30"/>
          <w:highlight w:val="none"/>
          <w:lang w:val="en-US" w:eastAsia="zh-CN"/>
        </w:rPr>
        <w:t>5</w:t>
      </w:r>
      <w:r>
        <w:rPr>
          <w:rFonts w:ascii="Times New Roman" w:hAnsi="Times New Roman" w:eastAsia="方正小标宋简体" w:cs="Times New Roman"/>
          <w:sz w:val="30"/>
          <w:szCs w:val="30"/>
          <w:highlight w:val="none"/>
        </w:rPr>
        <w:t>年度部门决算情况说明</w:t>
      </w:r>
      <w:r>
        <w:rPr>
          <w:rFonts w:ascii="Times New Roman" w:hAnsi="Times New Roman" w:eastAsia="方正小标宋简体" w:cs="Times New Roman"/>
          <w:sz w:val="30"/>
          <w:szCs w:val="30"/>
          <w:highlight w:val="none"/>
        </w:rPr>
        <w:tab/>
      </w:r>
      <w:r>
        <w:rPr>
          <w:rFonts w:hint="eastAsia" w:ascii="Times New Roman" w:hAnsi="Times New Roman" w:eastAsia="方正小标宋简体" w:cs="Times New Roman"/>
          <w:sz w:val="30"/>
          <w:szCs w:val="30"/>
          <w:highlight w:val="none"/>
          <w:lang w:val="en-US" w:eastAsia="zh-CN"/>
        </w:rPr>
        <w:t>1</w:t>
      </w:r>
      <w:r>
        <w:rPr>
          <w:rFonts w:ascii="Times New Roman" w:hAnsi="Times New Roman" w:eastAsia="方正小标宋简体" w:cs="Times New Roman"/>
          <w:sz w:val="30"/>
          <w:szCs w:val="30"/>
          <w:highlight w:val="none"/>
        </w:rPr>
        <w:fldChar w:fldCharType="end"/>
      </w:r>
      <w:r>
        <w:rPr>
          <w:rFonts w:hint="eastAsia" w:ascii="Times New Roman" w:hAnsi="Times New Roman" w:eastAsia="方正小标宋简体" w:cs="Times New Roman"/>
          <w:sz w:val="30"/>
          <w:szCs w:val="30"/>
          <w:highlight w:val="none"/>
          <w:lang w:val="en-US" w:eastAsia="zh-CN"/>
        </w:rPr>
        <w:t>3</w:t>
      </w:r>
    </w:p>
    <w:p w14:paraId="380B43A3">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_Toc10868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一、收支决算总体情况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3</w:t>
      </w:r>
    </w:p>
    <w:p w14:paraId="7C5EA9C8">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_Toc11824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二、收入决算情况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3</w:t>
      </w:r>
    </w:p>
    <w:p w14:paraId="4671AC19">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_Toc16536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三、支出决算情况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4</w:t>
      </w:r>
    </w:p>
    <w:p w14:paraId="6F6F11DD">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_Toc18362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四、财政拨款收支决算总体情况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4</w:t>
      </w:r>
    </w:p>
    <w:p w14:paraId="1DCD8BC9">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_Toc29106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五、一般公共预算财政拨款支出决算情况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4</w:t>
      </w:r>
    </w:p>
    <w:p w14:paraId="6BE2E4AD">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_Toc1636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六、一般公共预算财政拨款基本支出决算情况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5</w:t>
      </w:r>
    </w:p>
    <w:p w14:paraId="22721478">
      <w:pPr>
        <w:pStyle w:val="10"/>
        <w:tabs>
          <w:tab w:val="right" w:leader="dot" w:pos="8306"/>
        </w:tabs>
        <w:spacing w:after="0" w:line="700" w:lineRule="exact"/>
        <w:rPr>
          <w:rFonts w:hint="default"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_Toc18682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七</w:t>
      </w:r>
      <w:r>
        <w:rPr>
          <w:rFonts w:ascii="Times New Roman" w:hAnsi="Times New Roman" w:eastAsia="仿宋_GB2312"/>
          <w:sz w:val="30"/>
          <w:szCs w:val="30"/>
          <w:highlight w:val="none"/>
        </w:rPr>
        <w:t>、政府性基金预算财政拨款收支决算情况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fldChar w:fldCharType="end"/>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16</w:t>
      </w:r>
    </w:p>
    <w:p w14:paraId="4E030EC9">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_Toc11823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八</w:t>
      </w:r>
      <w:r>
        <w:rPr>
          <w:rFonts w:ascii="Times New Roman" w:hAnsi="Times New Roman" w:eastAsia="仿宋_GB2312"/>
          <w:sz w:val="30"/>
          <w:szCs w:val="30"/>
          <w:highlight w:val="none"/>
        </w:rPr>
        <w:t>、国有资本经营预算财政拨款收支决算情况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7</w:t>
      </w:r>
    </w:p>
    <w:p w14:paraId="7CC75160">
      <w:pPr>
        <w:pStyle w:val="10"/>
        <w:tabs>
          <w:tab w:val="right" w:leader="dot" w:pos="8306"/>
        </w:tabs>
        <w:spacing w:after="0" w:line="700" w:lineRule="exact"/>
        <w:rPr>
          <w:rFonts w:hint="eastAsia" w:eastAsia="仿宋_GB2312"/>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_Toc27173 </w:instrText>
      </w:r>
      <w:r>
        <w:rPr>
          <w:rFonts w:ascii="Times New Roman" w:hAnsi="Times New Roman" w:eastAsia="仿宋_GB2312"/>
          <w:sz w:val="30"/>
          <w:szCs w:val="30"/>
          <w:highlight w:val="none"/>
        </w:rPr>
        <w:fldChar w:fldCharType="separate"/>
      </w:r>
      <w:r>
        <w:rPr>
          <w:rFonts w:hint="eastAsia" w:ascii="Times New Roman" w:hAnsi="Times New Roman" w:eastAsia="仿宋_GB2312"/>
          <w:sz w:val="30"/>
          <w:szCs w:val="30"/>
          <w:highlight w:val="none"/>
          <w:lang w:eastAsia="zh-CN"/>
        </w:rPr>
        <w:t>九</w:t>
      </w:r>
      <w:r>
        <w:rPr>
          <w:rFonts w:ascii="Times New Roman" w:hAnsi="Times New Roman" w:eastAsia="仿宋_GB2312"/>
          <w:sz w:val="30"/>
          <w:szCs w:val="30"/>
          <w:highlight w:val="none"/>
        </w:rPr>
        <w:t>、财政拨款“三公”经费支出决算情况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1</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8</w:t>
      </w:r>
    </w:p>
    <w:p w14:paraId="7E341737">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_Toc8800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十、机关运行经费支出情况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0</w:t>
      </w:r>
    </w:p>
    <w:p w14:paraId="3022AA07">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_Toc8078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w:t>
      </w:r>
      <w:r>
        <w:rPr>
          <w:rFonts w:hint="eastAsia" w:ascii="Times New Roman" w:hAnsi="Times New Roman" w:eastAsia="仿宋_GB2312"/>
          <w:sz w:val="30"/>
          <w:szCs w:val="30"/>
          <w:highlight w:val="none"/>
          <w:lang w:eastAsia="zh-CN"/>
        </w:rPr>
        <w:t>一</w:t>
      </w:r>
      <w:r>
        <w:rPr>
          <w:rFonts w:ascii="Times New Roman" w:hAnsi="Times New Roman" w:eastAsia="仿宋_GB2312"/>
          <w:sz w:val="30"/>
          <w:szCs w:val="30"/>
          <w:highlight w:val="none"/>
        </w:rPr>
        <w:t>、政府采购支出情况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0</w:t>
      </w:r>
    </w:p>
    <w:p w14:paraId="0D4DAAAB">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_Toc2866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w:t>
      </w:r>
      <w:r>
        <w:rPr>
          <w:rFonts w:hint="eastAsia" w:ascii="Times New Roman" w:hAnsi="Times New Roman" w:eastAsia="仿宋_GB2312"/>
          <w:sz w:val="30"/>
          <w:szCs w:val="30"/>
          <w:highlight w:val="none"/>
          <w:lang w:eastAsia="zh-CN"/>
        </w:rPr>
        <w:t>二</w:t>
      </w:r>
      <w:r>
        <w:rPr>
          <w:rFonts w:ascii="Times New Roman" w:hAnsi="Times New Roman" w:eastAsia="仿宋_GB2312"/>
          <w:sz w:val="30"/>
          <w:szCs w:val="30"/>
          <w:highlight w:val="none"/>
        </w:rPr>
        <w:t>、国有资产占有使用情况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1</w:t>
      </w:r>
    </w:p>
    <w:p w14:paraId="66F48466">
      <w:pPr>
        <w:pStyle w:val="10"/>
        <w:tabs>
          <w:tab w:val="right" w:leader="dot" w:pos="8306"/>
        </w:tabs>
        <w:spacing w:after="0" w:line="700" w:lineRule="exact"/>
        <w:rPr>
          <w:rFonts w:hint="eastAsia" w:ascii="Times New Roman" w:hAnsi="Times New Roman" w:eastAsia="仿宋_GB2312"/>
          <w:sz w:val="30"/>
          <w:szCs w:val="30"/>
          <w:highlight w:val="none"/>
          <w:lang w:val="en-US" w:eastAsia="zh-C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_Toc3441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w:t>
      </w:r>
      <w:r>
        <w:rPr>
          <w:rFonts w:hint="eastAsia" w:ascii="Times New Roman" w:hAnsi="Times New Roman" w:eastAsia="仿宋_GB2312"/>
          <w:sz w:val="30"/>
          <w:szCs w:val="30"/>
          <w:highlight w:val="none"/>
          <w:lang w:eastAsia="zh-CN"/>
        </w:rPr>
        <w:t>三</w:t>
      </w:r>
      <w:r>
        <w:rPr>
          <w:rFonts w:ascii="Times New Roman" w:hAnsi="Times New Roman" w:eastAsia="仿宋_GB2312"/>
          <w:sz w:val="30"/>
          <w:szCs w:val="30"/>
          <w:highlight w:val="none"/>
        </w:rPr>
        <w:t>、预算绩效情况说明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1</w:t>
      </w:r>
    </w:p>
    <w:p w14:paraId="78F0E0E6">
      <w:pPr>
        <w:pStyle w:val="10"/>
        <w:tabs>
          <w:tab w:val="right" w:leader="dot" w:pos="8306"/>
        </w:tabs>
        <w:spacing w:after="0" w:line="700" w:lineRule="exact"/>
        <w:rPr>
          <w:rFonts w:hint="default" w:ascii="Times New Roman" w:hAnsi="Times New Roman" w:eastAsia="仿宋_GB2312"/>
          <w:sz w:val="30"/>
          <w:szCs w:val="30"/>
          <w:highlight w:val="none"/>
          <w:lang w:val="en"/>
        </w:rPr>
      </w:pPr>
      <w:r>
        <w:rPr>
          <w:rFonts w:ascii="Times New Roman" w:hAnsi="Times New Roman" w:eastAsia="仿宋_GB2312"/>
          <w:sz w:val="30"/>
          <w:szCs w:val="30"/>
          <w:highlight w:val="none"/>
        </w:rPr>
        <w:fldChar w:fldCharType="begin"/>
      </w:r>
      <w:r>
        <w:rPr>
          <w:rFonts w:ascii="Times New Roman" w:hAnsi="Times New Roman" w:eastAsia="仿宋_GB2312"/>
          <w:sz w:val="30"/>
          <w:szCs w:val="30"/>
          <w:highlight w:val="none"/>
        </w:rPr>
        <w:instrText xml:space="preserve"> HYPERLINK \l _Toc11040 </w:instrText>
      </w:r>
      <w:r>
        <w:rPr>
          <w:rFonts w:ascii="Times New Roman" w:hAnsi="Times New Roman" w:eastAsia="仿宋_GB2312"/>
          <w:sz w:val="30"/>
          <w:szCs w:val="30"/>
          <w:highlight w:val="none"/>
        </w:rPr>
        <w:fldChar w:fldCharType="separate"/>
      </w:r>
      <w:r>
        <w:rPr>
          <w:rFonts w:ascii="Times New Roman" w:hAnsi="Times New Roman" w:eastAsia="仿宋_GB2312"/>
          <w:sz w:val="30"/>
          <w:szCs w:val="30"/>
          <w:highlight w:val="none"/>
        </w:rPr>
        <w:t>十</w:t>
      </w:r>
      <w:r>
        <w:rPr>
          <w:rFonts w:hint="eastAsia" w:ascii="Times New Roman" w:hAnsi="Times New Roman" w:eastAsia="仿宋_GB2312"/>
          <w:sz w:val="30"/>
          <w:szCs w:val="30"/>
          <w:highlight w:val="none"/>
          <w:lang w:eastAsia="zh-CN"/>
        </w:rPr>
        <w:t>四</w:t>
      </w:r>
      <w:r>
        <w:rPr>
          <w:rFonts w:ascii="Times New Roman" w:hAnsi="Times New Roman" w:eastAsia="仿宋_GB2312"/>
          <w:sz w:val="30"/>
          <w:szCs w:val="30"/>
          <w:highlight w:val="none"/>
        </w:rPr>
        <w:t>、教育、医疗卫生、社会保障和就业、住房保障、涉农补贴等民生支出情况</w:t>
      </w:r>
      <w:r>
        <w:rPr>
          <w:rFonts w:hint="eastAsia" w:ascii="Times New Roman" w:hAnsi="Times New Roman" w:eastAsia="仿宋_GB2312"/>
          <w:sz w:val="30"/>
          <w:szCs w:val="30"/>
          <w:highlight w:val="none"/>
          <w:lang w:eastAsia="zh-CN"/>
        </w:rPr>
        <w:t>说明</w:t>
      </w:r>
      <w:r>
        <w:rPr>
          <w:rFonts w:ascii="Times New Roman" w:hAnsi="Times New Roman" w:eastAsia="仿宋_GB2312"/>
          <w:sz w:val="30"/>
          <w:szCs w:val="30"/>
          <w:highlight w:val="none"/>
        </w:rPr>
        <w:tab/>
      </w:r>
      <w:r>
        <w:rPr>
          <w:rFonts w:hint="eastAsia" w:ascii="Times New Roman" w:hAnsi="Times New Roman" w:eastAsia="仿宋_GB2312"/>
          <w:sz w:val="30"/>
          <w:szCs w:val="30"/>
          <w:highlight w:val="none"/>
          <w:lang w:val="en-US" w:eastAsia="zh-CN"/>
        </w:rPr>
        <w:t>2</w:t>
      </w:r>
      <w:r>
        <w:rPr>
          <w:rFonts w:ascii="Times New Roman" w:hAnsi="Times New Roman" w:eastAsia="仿宋_GB2312"/>
          <w:sz w:val="30"/>
          <w:szCs w:val="30"/>
          <w:highlight w:val="none"/>
        </w:rPr>
        <w:fldChar w:fldCharType="end"/>
      </w:r>
      <w:r>
        <w:rPr>
          <w:rFonts w:hint="eastAsia" w:ascii="Times New Roman" w:hAnsi="Times New Roman" w:eastAsia="仿宋_GB2312"/>
          <w:sz w:val="30"/>
          <w:szCs w:val="30"/>
          <w:highlight w:val="none"/>
          <w:lang w:val="en-US" w:eastAsia="zh-CN"/>
        </w:rPr>
        <w:t>2</w:t>
      </w:r>
    </w:p>
    <w:p w14:paraId="7568191D">
      <w:pPr>
        <w:pStyle w:val="9"/>
        <w:tabs>
          <w:tab w:val="right" w:leader="dot" w:pos="8306"/>
          <w:tab w:val="clear" w:pos="8296"/>
        </w:tabs>
        <w:spacing w:after="0" w:line="700" w:lineRule="exact"/>
        <w:rPr>
          <w:rFonts w:hint="eastAsia" w:ascii="Times New Roman" w:hAnsi="Times New Roman" w:eastAsia="仿宋_GB2312" w:cs="Times New Roman"/>
          <w:sz w:val="30"/>
          <w:szCs w:val="30"/>
          <w:highlight w:val="none"/>
          <w:lang w:val="en-US" w:eastAsia="zh-CN"/>
        </w:rPr>
      </w:pPr>
      <w:r>
        <w:rPr>
          <w:rFonts w:ascii="Times New Roman" w:hAnsi="Times New Roman" w:eastAsia="仿宋_GB2312" w:cs="Times New Roman"/>
          <w:sz w:val="30"/>
          <w:szCs w:val="30"/>
          <w:highlight w:val="none"/>
        </w:rPr>
        <w:fldChar w:fldCharType="begin"/>
      </w:r>
      <w:r>
        <w:rPr>
          <w:rFonts w:ascii="Times New Roman" w:hAnsi="Times New Roman" w:eastAsia="仿宋_GB2312" w:cs="Times New Roman"/>
          <w:sz w:val="30"/>
          <w:szCs w:val="30"/>
          <w:highlight w:val="none"/>
        </w:rPr>
        <w:instrText xml:space="preserve"> HYPERLINK \l _Toc18688 </w:instrText>
      </w:r>
      <w:r>
        <w:rPr>
          <w:rFonts w:ascii="Times New Roman" w:hAnsi="Times New Roman" w:eastAsia="仿宋_GB2312" w:cs="Times New Roman"/>
          <w:sz w:val="30"/>
          <w:szCs w:val="30"/>
          <w:highlight w:val="none"/>
        </w:rPr>
        <w:fldChar w:fldCharType="separate"/>
      </w:r>
      <w:r>
        <w:rPr>
          <w:rFonts w:ascii="Times New Roman" w:hAnsi="Times New Roman" w:eastAsia="方正小标宋简体" w:cs="Times New Roman"/>
          <w:sz w:val="30"/>
          <w:szCs w:val="30"/>
          <w:highlight w:val="none"/>
        </w:rPr>
        <w:t>第四部分  名词解释</w:t>
      </w:r>
      <w:r>
        <w:rPr>
          <w:rFonts w:ascii="Times New Roman" w:hAnsi="Times New Roman" w:cs="Times New Roman"/>
          <w:sz w:val="30"/>
          <w:szCs w:val="30"/>
          <w:highlight w:val="none"/>
        </w:rPr>
        <w:tab/>
      </w:r>
      <w:r>
        <w:rPr>
          <w:rFonts w:hint="eastAsia" w:ascii="Times New Roman" w:hAnsi="Times New Roman" w:cs="Times New Roman"/>
          <w:sz w:val="30"/>
          <w:szCs w:val="30"/>
          <w:highlight w:val="none"/>
          <w:lang w:val="en-US" w:eastAsia="zh-CN"/>
        </w:rPr>
        <w:t>2</w:t>
      </w:r>
      <w:r>
        <w:rPr>
          <w:rFonts w:ascii="Times New Roman" w:hAnsi="Times New Roman" w:eastAsia="仿宋_GB2312" w:cs="Times New Roman"/>
          <w:sz w:val="30"/>
          <w:szCs w:val="30"/>
          <w:highlight w:val="none"/>
        </w:rPr>
        <w:fldChar w:fldCharType="end"/>
      </w:r>
      <w:r>
        <w:rPr>
          <w:rFonts w:hint="eastAsia" w:ascii="Times New Roman" w:hAnsi="Times New Roman" w:eastAsia="仿宋_GB2312" w:cs="Times New Roman"/>
          <w:sz w:val="30"/>
          <w:szCs w:val="30"/>
          <w:highlight w:val="none"/>
          <w:lang w:val="en-US" w:eastAsia="zh-CN"/>
        </w:rPr>
        <w:t>4</w:t>
      </w:r>
    </w:p>
    <w:p w14:paraId="2EF6D1D6">
      <w:pPr>
        <w:pStyle w:val="10"/>
        <w:tabs>
          <w:tab w:val="right" w:leader="dot" w:pos="8296"/>
        </w:tabs>
        <w:spacing w:after="0" w:line="600" w:lineRule="exact"/>
        <w:rPr>
          <w:rFonts w:ascii="Times New Roman" w:hAnsi="Times New Roman" w:eastAsia="仿宋_GB2312"/>
          <w:sz w:val="32"/>
          <w:szCs w:val="32"/>
          <w:highlight w:val="none"/>
        </w:rPr>
        <w:sectPr>
          <w:footerReference r:id="rId5" w:type="default"/>
          <w:pgSz w:w="11906" w:h="16838"/>
          <w:pgMar w:top="1440" w:right="1800" w:bottom="1440" w:left="1800" w:header="851" w:footer="992" w:gutter="0"/>
          <w:pgNumType w:start="1"/>
          <w:cols w:space="720" w:num="1"/>
          <w:docGrid w:type="lines" w:linePitch="312" w:charSpace="0"/>
        </w:sectPr>
      </w:pPr>
      <w:r>
        <w:rPr>
          <w:rFonts w:ascii="Times New Roman" w:hAnsi="Times New Roman" w:eastAsia="仿宋_GB2312"/>
          <w:sz w:val="30"/>
          <w:szCs w:val="30"/>
          <w:highlight w:val="none"/>
        </w:rPr>
        <w:fldChar w:fldCharType="end"/>
      </w:r>
    </w:p>
    <w:p w14:paraId="6748A59B">
      <w:pPr>
        <w:rPr>
          <w:rFonts w:hint="eastAsia"/>
          <w:highlight w:val="none"/>
        </w:rPr>
      </w:pPr>
    </w:p>
    <w:p w14:paraId="08F162AE">
      <w:pPr>
        <w:pStyle w:val="2"/>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5AD9AFF7">
      <w:pPr>
        <w:pStyle w:val="2"/>
        <w:keepNext/>
        <w:keepLines/>
        <w:pageBreakBefore w:val="0"/>
        <w:widowControl w:val="0"/>
        <w:kinsoku/>
        <w:wordWrap/>
        <w:overflowPunct/>
        <w:topLinePunct w:val="0"/>
        <w:autoSpaceDE/>
        <w:autoSpaceDN/>
        <w:bidi w:val="0"/>
        <w:adjustRightInd w:val="0"/>
        <w:snapToGrid/>
        <w:spacing w:before="0" w:after="0" w:line="600" w:lineRule="exact"/>
        <w:jc w:val="center"/>
        <w:textAlignment w:val="baseline"/>
        <w:rPr>
          <w:rFonts w:ascii="方正小标宋简体" w:hAnsi="方正小标宋简体" w:eastAsia="方正小标宋简体" w:cs="方正小标宋简体"/>
          <w:b w:val="0"/>
          <w:sz w:val="44"/>
          <w:szCs w:val="44"/>
          <w:highlight w:val="none"/>
        </w:rPr>
      </w:pPr>
      <w:bookmarkStart w:id="0" w:name="_Toc12777"/>
      <w:r>
        <w:rPr>
          <w:rFonts w:hint="eastAsia" w:ascii="方正小标宋简体" w:hAnsi="方正小标宋简体" w:eastAsia="方正小标宋简体" w:cs="方正小标宋简体"/>
          <w:b w:val="0"/>
          <w:sz w:val="44"/>
          <w:szCs w:val="44"/>
          <w:highlight w:val="none"/>
        </w:rPr>
        <w:t>第一部分  概 况</w:t>
      </w:r>
      <w:bookmarkEnd w:id="0"/>
    </w:p>
    <w:p w14:paraId="338203A7">
      <w:pPr>
        <w:spacing w:line="600" w:lineRule="exact"/>
        <w:rPr>
          <w:rFonts w:hint="eastAsia"/>
          <w:highlight w:val="none"/>
        </w:rPr>
      </w:pPr>
    </w:p>
    <w:p w14:paraId="7FCB0CB2">
      <w:pPr>
        <w:pStyle w:val="22"/>
        <w:pageBreakBefore w:val="0"/>
        <w:widowControl w:val="0"/>
        <w:kinsoku/>
        <w:wordWrap w:val="0"/>
        <w:overflowPunct/>
        <w:topLinePunct w:val="0"/>
        <w:autoSpaceDE/>
        <w:autoSpaceDN/>
        <w:bidi w:val="0"/>
        <w:adjustRightInd w:val="0"/>
        <w:snapToGrid/>
        <w:spacing w:before="0" w:after="0" w:line="600" w:lineRule="exact"/>
        <w:ind w:firstLine="600" w:firstLineChars="200"/>
        <w:textAlignment w:val="baseline"/>
        <w:rPr>
          <w:rFonts w:hint="eastAsia" w:ascii="黑体" w:hAnsi="黑体" w:eastAsia="黑体" w:cs="Times New Roman"/>
          <w:b w:val="0"/>
          <w:bCs w:val="0"/>
          <w:sz w:val="30"/>
          <w:szCs w:val="30"/>
          <w:highlight w:val="none"/>
          <w:lang w:val="en-US" w:eastAsia="zh-CN" w:bidi="ar-SA"/>
        </w:rPr>
      </w:pPr>
      <w:bookmarkStart w:id="1" w:name="_Toc957"/>
      <w:r>
        <w:rPr>
          <w:rFonts w:hint="eastAsia" w:ascii="黑体" w:hAnsi="黑体" w:eastAsia="黑体" w:cs="Times New Roman"/>
          <w:b w:val="0"/>
          <w:bCs w:val="0"/>
          <w:sz w:val="30"/>
          <w:szCs w:val="30"/>
          <w:highlight w:val="none"/>
          <w:lang w:val="en-US" w:eastAsia="zh-CN" w:bidi="ar-SA"/>
        </w:rPr>
        <w:t>一、主要职责</w:t>
      </w:r>
      <w:bookmarkEnd w:id="1"/>
    </w:p>
    <w:p w14:paraId="640670D3">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的主要职责是：(1)贯彻执行国家、天津市、滨海新区和天津经开区有关招商引资、产业促进的政策要求，跟踪石油化工、精细化工、新能源、新材料等产业发展趋势，研究制定相关招商引资具体政策和配套措施。</w:t>
      </w:r>
    </w:p>
    <w:p w14:paraId="2C71CBAD">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(2)加强与国家、天津市和滨海新区有关部门衔接沟通，协同落实南港工业区重大政策制定、重大项目落地工作。</w:t>
      </w:r>
    </w:p>
    <w:p w14:paraId="2C17B394">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(3)贯彻落实天津经开区“三资并重”的招商理念，开拓并维护各级政府、企业、协会、中介机构等渠道资源，协调驻外单位，开展招商引资推广工作。 </w:t>
      </w:r>
    </w:p>
    <w:p w14:paraId="7A0B8436">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(4)负责石油化工、精细化工、新能源、新材料、港口等产业方向的招商引资工作，策划和制定专业化的招商活动计划、方案并组织实施。</w:t>
      </w:r>
    </w:p>
    <w:p w14:paraId="53E3CD19">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(5)负责在谈和已投资重大项目的跟踪、服务工作，协调有关部门解决项目提出的问题，促进项目落地建设和增资增产。</w:t>
      </w:r>
    </w:p>
    <w:p w14:paraId="332DA3C2">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(6)负责完成天津经开区管委会下达的实际利用内外资、新引进项目数、新增全口径税收、新增固定资产投资、新增购地项目数等考核指标。</w:t>
      </w:r>
    </w:p>
    <w:p w14:paraId="24301128">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(7)贯彻落实本单位全面从严治党主体责任，严格落实基层党建工作任务，发挥党组织战斗堡垒作用和党员先锋模范作用。</w:t>
      </w:r>
    </w:p>
    <w:p w14:paraId="602F0BD1">
      <w:pPr>
        <w:pageBreakBefore w:val="0"/>
        <w:widowControl w:val="0"/>
        <w:kinsoku/>
        <w:overflowPunct/>
        <w:topLinePunct w:val="0"/>
        <w:autoSpaceDE/>
        <w:autoSpaceDN/>
        <w:bidi w:val="0"/>
        <w:adjustRightInd w:val="0"/>
        <w:snapToGrid/>
        <w:spacing w:line="600" w:lineRule="exact"/>
        <w:ind w:firstLine="600"/>
        <w:textAlignment w:val="baseline"/>
        <w:rPr>
          <w:rFonts w:hint="eastAsia" w:eastAsia="仿宋_GB2312"/>
          <w:sz w:val="30"/>
          <w:szCs w:val="30"/>
          <w:highlight w:val="none"/>
          <w:lang w:val="en-US" w:eastAsia="zh-CN"/>
        </w:rPr>
      </w:pPr>
      <w:r>
        <w:rPr>
          <w:rFonts w:hint="eastAsia" w:eastAsia="仿宋_GB2312"/>
          <w:sz w:val="30"/>
          <w:szCs w:val="30"/>
          <w:highlight w:val="none"/>
          <w:lang w:val="en-US" w:eastAsia="zh-CN"/>
        </w:rPr>
        <w:t>(8)完成党委、管委会交办的其他事项。</w:t>
      </w:r>
    </w:p>
    <w:p w14:paraId="570D50F0">
      <w:pPr>
        <w:pStyle w:val="22"/>
        <w:pageBreakBefore w:val="0"/>
        <w:widowControl w:val="0"/>
        <w:kinsoku/>
        <w:wordWrap w:val="0"/>
        <w:overflowPunct/>
        <w:topLinePunct w:val="0"/>
        <w:autoSpaceDE/>
        <w:autoSpaceDN/>
        <w:bidi w:val="0"/>
        <w:adjustRightInd w:val="0"/>
        <w:snapToGrid/>
        <w:spacing w:before="0" w:after="0" w:line="600" w:lineRule="exact"/>
        <w:ind w:firstLine="600" w:firstLineChars="200"/>
        <w:textAlignment w:val="baseline"/>
        <w:rPr>
          <w:rFonts w:hint="eastAsia" w:ascii="黑体" w:hAnsi="黑体" w:eastAsia="黑体" w:cs="Times New Roman"/>
          <w:b w:val="0"/>
          <w:bCs w:val="0"/>
          <w:sz w:val="30"/>
          <w:szCs w:val="30"/>
          <w:highlight w:val="none"/>
          <w:lang w:val="en-US" w:eastAsia="zh-CN" w:bidi="ar-SA"/>
        </w:rPr>
      </w:pPr>
      <w:bookmarkStart w:id="2" w:name="_Toc9641"/>
      <w:r>
        <w:rPr>
          <w:rFonts w:hint="eastAsia" w:ascii="黑体" w:hAnsi="黑体" w:eastAsia="黑体" w:cs="Times New Roman"/>
          <w:b w:val="0"/>
          <w:bCs w:val="0"/>
          <w:sz w:val="30"/>
          <w:szCs w:val="30"/>
          <w:highlight w:val="none"/>
          <w:lang w:val="en-US" w:eastAsia="zh-CN" w:bidi="ar-SA"/>
        </w:rPr>
        <w:t>二、机构设置</w:t>
      </w:r>
      <w:bookmarkEnd w:id="2"/>
    </w:p>
    <w:p w14:paraId="186D7602">
      <w:pPr>
        <w:pageBreakBefore w:val="0"/>
        <w:widowControl w:val="0"/>
        <w:kinsoku/>
        <w:overflowPunct/>
        <w:topLinePunct w:val="0"/>
        <w:autoSpaceDE/>
        <w:autoSpaceDN/>
        <w:bidi w:val="0"/>
        <w:adjustRightInd w:val="0"/>
        <w:snapToGrid/>
        <w:spacing w:line="600" w:lineRule="exact"/>
        <w:textAlignment w:val="baseline"/>
        <w:sectPr>
          <w:footerReference r:id="rId6" w:type="default"/>
          <w:pgSz w:w="11906" w:h="16838"/>
          <w:pgMar w:top="1440" w:right="1800" w:bottom="1440" w:left="1800" w:header="851" w:footer="992" w:gutter="0"/>
          <w:pgNumType w:fmt="decimal" w:start="1"/>
          <w:cols w:space="720" w:num="1"/>
          <w:docGrid w:type="lines" w:linePitch="312" w:charSpace="0"/>
        </w:sectPr>
      </w:pPr>
      <w:r>
        <w:rPr>
          <w:rFonts w:hint="eastAsia" w:eastAsia="仿宋_GB2312"/>
          <w:sz w:val="30"/>
          <w:szCs w:val="30"/>
          <w:highlight w:val="none"/>
          <w:lang w:val="en-US" w:eastAsia="zh-CN"/>
        </w:rPr>
        <w:t>纳入天津经济技术开发区南港工业区产业促进办公室2025年度部门决算编制范围的单位包括，部门本级（内设7个职能科室）。</w:t>
      </w:r>
    </w:p>
    <w:p w14:paraId="5E8B79A0">
      <w:pPr>
        <w:pStyle w:val="23"/>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r>
        <w:rPr>
          <w:rFonts w:hint="eastAsia" w:ascii="方正小标宋简体" w:hAnsi="方正小标宋简体" w:eastAsia="方正小标宋简体" w:cs="方正小标宋简体"/>
          <w:b w:val="0"/>
          <w:bCs w:val="0"/>
          <w:lang w:val="en-US" w:eastAsia="zh-CN"/>
        </w:rPr>
        <w:t>第二部分  2025年度部门决算表</w:t>
      </w:r>
    </w:p>
    <w:p w14:paraId="32FB6609">
      <w:pPr>
        <w:pStyle w:val="22"/>
        <w:pageBreakBefore w:val="0"/>
        <w:widowControl w:val="0"/>
        <w:kinsoku/>
        <w:wordWrap w:val="0"/>
        <w:overflowPunct/>
        <w:topLinePunct w:val="0"/>
        <w:autoSpaceDE/>
        <w:autoSpaceDN/>
        <w:bidi w:val="0"/>
        <w:adjustRightInd w:val="0"/>
        <w:snapToGrid/>
        <w:spacing w:before="0" w:after="0" w:line="600" w:lineRule="exact"/>
        <w:textAlignment w:val="baseline"/>
        <w:rPr>
          <w:rFonts w:hint="eastAsia" w:ascii="黑体" w:hAnsi="黑体" w:eastAsia="黑体" w:cs="Times New Roman"/>
          <w:b w:val="0"/>
          <w:bCs w:val="0"/>
          <w:sz w:val="30"/>
          <w:szCs w:val="30"/>
          <w:highlight w:val="none"/>
          <w:lang w:val="en-US" w:eastAsia="zh-CN" w:bidi="ar-SA"/>
        </w:rPr>
      </w:pPr>
      <w:bookmarkStart w:id="3" w:name="_Toc24940"/>
      <w:r>
        <w:rPr>
          <w:rFonts w:hint="eastAsia" w:ascii="黑体" w:hAnsi="黑体" w:eastAsia="黑体" w:cs="Times New Roman"/>
          <w:b w:val="0"/>
          <w:bCs w:val="0"/>
          <w:sz w:val="30"/>
          <w:szCs w:val="30"/>
          <w:highlight w:val="none"/>
          <w:lang w:val="en-US" w:eastAsia="zh-CN" w:bidi="ar-SA"/>
        </w:rPr>
        <w:t>一、《收入支出决算总表》</w:t>
      </w:r>
      <w:bookmarkEnd w:id="3"/>
    </w:p>
    <w:tbl>
      <w:tblPr>
        <w:tblStyle w:val="24"/>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7204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2F3E4024">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部门：天津经济技术开发区南港工业区产业促进办公室</w:t>
            </w:r>
          </w:p>
        </w:tc>
        <w:tc>
          <w:tcPr>
            <w:tcW w:w="1701" w:type="dxa"/>
            <w:gridSpan w:val="2"/>
            <w:tcBorders>
              <w:top w:val="nil"/>
              <w:left w:val="nil"/>
              <w:bottom w:val="single" w:color="000000" w:sz="4" w:space="0"/>
              <w:right w:val="nil"/>
            </w:tcBorders>
            <w:shd w:val="clear" w:color="000000" w:fill="FFFFFF"/>
            <w:noWrap/>
            <w:vAlign w:val="center"/>
          </w:tcPr>
          <w:p w14:paraId="16D010C4">
            <w:pPr>
              <w:widowControl w:val="0"/>
              <w:adjustRightInd w:val="0"/>
              <w:spacing w:line="240" w:lineRule="auto"/>
              <w:ind w:left="0" w:leftChars="0" w:right="0" w:rightChars="0" w:firstLine="0" w:firstLineChars="0"/>
              <w:jc w:val="righ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7CFD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71D4226F">
            <w:pPr>
              <w:widowControl w:val="0"/>
              <w:adjustRightInd w:val="0"/>
              <w:spacing w:line="240" w:lineRule="auto"/>
              <w:ind w:left="0" w:leftChars="0" w:right="0" w:rightChars="0" w:firstLine="0" w:firstLineChars="0"/>
              <w:jc w:val="center"/>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2C6A24AA">
            <w:pPr>
              <w:widowControl w:val="0"/>
              <w:adjustRightInd w:val="0"/>
              <w:spacing w:line="240" w:lineRule="auto"/>
              <w:ind w:left="0" w:leftChars="0" w:right="0" w:rightChars="0" w:firstLine="0" w:firstLineChars="0"/>
              <w:jc w:val="center"/>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w:t>
            </w:r>
          </w:p>
        </w:tc>
      </w:tr>
      <w:tr w14:paraId="42566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4435EE">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EB822B">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3FAF91">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C66EB8">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w:t>
            </w:r>
          </w:p>
        </w:tc>
      </w:tr>
      <w:tr w14:paraId="253C1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E0BFD7">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9456AD">
            <w:pPr>
              <w:keepNext w:val="0"/>
              <w:keepLines w:val="0"/>
              <w:widowControl/>
              <w:suppressLineNumbers w:val="0"/>
              <w:tabs>
                <w:tab w:val="left" w:pos="1920"/>
              </w:tabs>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11229635.13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8CC0E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2A7412">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11229635.13</w:t>
            </w:r>
          </w:p>
        </w:tc>
      </w:tr>
      <w:tr w14:paraId="5681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DD2577">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61EB99">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3760000.00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59FD3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8D1187">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8D3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D209C9">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932DE4">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576F0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30B31D">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B045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DB2322">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62896C">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AA8E4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53E23E">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DF9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EC4BB2">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B3394B">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FE465B">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13EB94">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0E56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664466">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5FB030">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D9F9D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F78F5A">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0930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60179C">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AE867F">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4D0EAF">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8F0992">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0DCA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F0CBC0">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7AAE9E">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5008CE">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684876">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3C74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81B684">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C6D1E8">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4EB5CC">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07A869">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09D5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7A166B">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D319A3">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6742D1">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A9CCC7">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85C4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2FF5BA">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BA6353">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D18FF2">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8A1F21">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13C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4B12EA">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694792">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2E5331">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AD1A44">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3760000.00</w:t>
            </w:r>
          </w:p>
        </w:tc>
      </w:tr>
      <w:tr w14:paraId="6287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E81B16">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E48AB7">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285FDC">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CD94B9">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A5C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C7FD4D">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49EA20">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F437D6">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D43FA4">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8A7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8DDBA2">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448A9E">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BEBF1E">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6DB853">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E64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6282CB">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93EE1F">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B21CC0">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A5D258">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BC19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A9E32F">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DD28F7">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32A7CF">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517127">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9559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E6E27E">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9C1F37">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712B44">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106868">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23D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F70D3E">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F647CF">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838B83">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45C121">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2BAA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564503">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B33D1E">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670EA8">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D04250">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 xml:space="preserve">  </w:t>
            </w:r>
          </w:p>
        </w:tc>
      </w:tr>
      <w:tr w14:paraId="09EED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5808B4">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8C1BF0">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7D4F63">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F0AF76">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012C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42C0FE">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5A8DD9">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54EC9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857B87">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B712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EC830D">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kern w:val="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9E61C3">
            <w:pPr>
              <w:widowControl w:val="0"/>
              <w:adjustRightInd w:val="0"/>
              <w:spacing w:line="240" w:lineRule="auto"/>
              <w:ind w:left="0" w:leftChars="0" w:right="0" w:rightChars="0" w:firstLine="0" w:firstLineChars="0"/>
              <w:jc w:val="left"/>
              <w:textAlignment w:val="baseline"/>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00740D">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5CD9C5">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507B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068532">
            <w:pPr>
              <w:widowControl w:val="0"/>
              <w:adjustRightInd w:val="0"/>
              <w:spacing w:line="240" w:lineRule="auto"/>
              <w:ind w:left="0" w:leftChars="0" w:right="0" w:rightChars="0" w:firstLine="0" w:firstLineChars="0"/>
              <w:jc w:val="center"/>
              <w:textAlignment w:val="baseline"/>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C31F81">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855308">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10E22F">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r>
      <w:tr w14:paraId="5EC1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58BFE5">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w w:val="90"/>
                <w:kern w:val="0"/>
                <w:sz w:val="20"/>
                <w:szCs w:val="20"/>
                <w:u w:val="none"/>
                <w:lang w:val="en-US" w:eastAsia="zh-CN" w:bidi="ar-SA"/>
              </w:rPr>
              <w:t>十、使用非财政拨款结余（含专用结余）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7190BA">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891160">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23E193">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BA3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2FEAAD">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324CE4">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252F63">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542368">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042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FD45EE">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1BEEE6">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AE39F1">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630266">
            <w:pPr>
              <w:widowControl w:val="0"/>
              <w:adjustRightInd w:val="0"/>
              <w:spacing w:line="240" w:lineRule="auto"/>
              <w:ind w:left="0" w:leftChars="0" w:right="0" w:rightChars="0" w:firstLine="0" w:firstLineChars="0"/>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1DD5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91F25D">
            <w:pPr>
              <w:keepNext w:val="0"/>
              <w:keepLines w:val="0"/>
              <w:widowControl/>
              <w:suppressLineNumbers w:val="0"/>
              <w:adjustRightInd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032C72">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F0BEB8">
            <w:pPr>
              <w:widowControl w:val="0"/>
              <w:adjustRightInd w:val="0"/>
              <w:spacing w:line="240" w:lineRule="auto"/>
              <w:ind w:left="0" w:leftChars="0" w:right="0" w:rightChars="0" w:firstLine="0" w:firstLineChars="0"/>
              <w:jc w:val="left"/>
              <w:textAlignment w:val="baseline"/>
              <w:rPr>
                <w:rFonts w:hint="eastAsia" w:ascii="宋体" w:hAnsi="宋体" w:eastAsia="宋体" w:cs="宋体"/>
                <w:i w:val="0"/>
                <w:iCs w:val="0"/>
                <w:color w:val="000000"/>
                <w:sz w:val="20"/>
                <w:szCs w:val="20"/>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5A7E26">
            <w:pPr>
              <w:widowControl w:val="0"/>
              <w:adjustRightInd w:val="0"/>
              <w:spacing w:line="240" w:lineRule="auto"/>
              <w:ind w:left="0" w:leftChars="0" w:right="0" w:rightChars="0" w:firstLine="0" w:firstLineChars="0"/>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738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667A8A">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E2B5AC">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2E5006">
            <w:pPr>
              <w:keepNext w:val="0"/>
              <w:keepLines w:val="0"/>
              <w:widowControl/>
              <w:suppressLineNumbers w:val="0"/>
              <w:adjustRightIn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62B156">
            <w:pPr>
              <w:keepNext w:val="0"/>
              <w:keepLines w:val="0"/>
              <w:widowControl/>
              <w:suppressLineNumbers w:val="0"/>
              <w:adjustRightInd w:val="0"/>
              <w:spacing w:line="240" w:lineRule="auto"/>
              <w:ind w:left="0" w:leftChars="0" w:right="0" w:rightChars="0" w:firstLine="0" w:firstLineChars="0"/>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r>
      <w:tr w14:paraId="158F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noWrap w:val="0"/>
            <w:vAlign w:val="center"/>
          </w:tcPr>
          <w:p w14:paraId="2A013880">
            <w:pPr>
              <w:keepNext w:val="0"/>
              <w:keepLines w:val="0"/>
              <w:widowControl/>
              <w:suppressLineNumbers w:val="0"/>
              <w:adjustRightInd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注：本表反映本年度的总收支和年末结转结余情况。财政专户管理资金是指教育收费；事业收入不含教育收费。</w:t>
            </w:r>
          </w:p>
        </w:tc>
      </w:tr>
    </w:tbl>
    <w:p w14:paraId="06E8101E">
      <w:pPr>
        <w:ind w:left="-480" w:leftChars="-200" w:firstLine="0" w:firstLineChars="0"/>
        <w:rPr>
          <w:rFonts w:hint="eastAsia"/>
          <w:lang w:val="en-US" w:eastAsia="zh-CN"/>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5FC521E">
      <w:pPr>
        <w:pStyle w:val="22"/>
        <w:wordWrap w:val="0"/>
        <w:spacing w:before="0" w:after="0" w:line="800" w:lineRule="exact"/>
        <w:ind w:firstLine="600" w:firstLineChars="200"/>
        <w:rPr>
          <w:rFonts w:hint="eastAsia" w:ascii="黑体" w:hAnsi="黑体" w:eastAsia="黑体"/>
          <w:b w:val="0"/>
          <w:bCs w:val="0"/>
          <w:sz w:val="30"/>
          <w:szCs w:val="30"/>
          <w:lang w:val="en-US" w:eastAsia="zh-CN"/>
        </w:rPr>
      </w:pPr>
      <w:bookmarkStart w:id="4" w:name="_Toc19253"/>
      <w:r>
        <w:rPr>
          <w:rFonts w:hint="eastAsia" w:ascii="黑体" w:hAnsi="黑体" w:eastAsia="黑体"/>
          <w:b w:val="0"/>
          <w:bCs w:val="0"/>
          <w:sz w:val="30"/>
          <w:szCs w:val="30"/>
          <w:lang w:val="en-US" w:eastAsia="zh-CN"/>
        </w:rPr>
        <w:t>二、《收入决算表（按功能分类列示）》</w:t>
      </w:r>
      <w:bookmarkEnd w:id="4"/>
    </w:p>
    <w:tbl>
      <w:tblPr>
        <w:tblStyle w:val="24"/>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54FEC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7D9DB97E">
            <w:pPr>
              <w:widowControl w:val="0"/>
              <w:adjustRightInd w:val="0"/>
              <w:snapToGrid w:val="0"/>
              <w:spacing w:line="360" w:lineRule="atLeast"/>
              <w:jc w:val="left"/>
              <w:textAlignment w:val="baseline"/>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1656" w:type="dxa"/>
            <w:tcBorders>
              <w:top w:val="nil"/>
              <w:left w:val="nil"/>
              <w:bottom w:val="single" w:color="auto" w:sz="4" w:space="0"/>
              <w:right w:val="nil"/>
            </w:tcBorders>
            <w:shd w:val="clear" w:color="auto" w:fill="FFFFFF"/>
            <w:noWrap/>
            <w:vAlign w:val="center"/>
          </w:tcPr>
          <w:p w14:paraId="0087F3E2">
            <w:pPr>
              <w:widowControl w:val="0"/>
              <w:adjustRightInd w:val="0"/>
              <w:snapToGrid w:val="0"/>
              <w:spacing w:line="360" w:lineRule="atLeast"/>
              <w:jc w:val="right"/>
              <w:textAlignment w:val="baseline"/>
              <w:rPr>
                <w:rFonts w:hint="eastAsia" w:ascii="宋体" w:hAnsi="宋体" w:eastAsia="宋体" w:cs="宋体"/>
                <w:i w:val="0"/>
                <w:iCs w:val="0"/>
                <w:color w:val="000000"/>
                <w:sz w:val="24"/>
                <w:szCs w:val="24"/>
                <w:u w:val="none"/>
                <w:lang w:val="en-US" w:eastAsia="zh-CN" w:bidi="ar-SA"/>
              </w:rPr>
            </w:pPr>
          </w:p>
        </w:tc>
        <w:tc>
          <w:tcPr>
            <w:tcW w:w="1572" w:type="dxa"/>
            <w:tcBorders>
              <w:top w:val="nil"/>
              <w:left w:val="nil"/>
              <w:bottom w:val="single" w:color="auto" w:sz="4" w:space="0"/>
              <w:right w:val="nil"/>
            </w:tcBorders>
            <w:shd w:val="clear" w:color="auto" w:fill="FFFFFF"/>
            <w:noWrap/>
            <w:vAlign w:val="center"/>
          </w:tcPr>
          <w:p w14:paraId="049D3BBD">
            <w:pPr>
              <w:widowControl w:val="0"/>
              <w:adjustRightInd w:val="0"/>
              <w:snapToGrid w:val="0"/>
              <w:spacing w:line="360" w:lineRule="atLeast"/>
              <w:jc w:val="right"/>
              <w:textAlignment w:val="baseline"/>
              <w:rPr>
                <w:rFonts w:hint="eastAsia" w:ascii="宋体" w:hAnsi="宋体" w:eastAsia="宋体" w:cs="宋体"/>
                <w:i w:val="0"/>
                <w:iCs w:val="0"/>
                <w:color w:val="000000"/>
                <w:sz w:val="24"/>
                <w:szCs w:val="24"/>
                <w:u w:val="none"/>
                <w:lang w:val="en-US" w:eastAsia="zh-CN" w:bidi="ar-SA"/>
              </w:rPr>
            </w:pPr>
          </w:p>
        </w:tc>
        <w:tc>
          <w:tcPr>
            <w:tcW w:w="3111" w:type="dxa"/>
            <w:gridSpan w:val="2"/>
            <w:tcBorders>
              <w:top w:val="nil"/>
              <w:left w:val="nil"/>
              <w:bottom w:val="single" w:color="auto" w:sz="4" w:space="0"/>
              <w:right w:val="nil"/>
            </w:tcBorders>
            <w:shd w:val="clear" w:color="auto" w:fill="FFFFFF"/>
            <w:noWrap/>
            <w:vAlign w:val="center"/>
          </w:tcPr>
          <w:p w14:paraId="266A2BBC">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2A21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6E6C6EE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23966CB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1E11F3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655125E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6394780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6F69E13D">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62DD8D0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FE0FC7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其他收入</w:t>
            </w:r>
          </w:p>
        </w:tc>
      </w:tr>
      <w:tr w14:paraId="5E202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5F8AD0A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B5CB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1231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E16C0">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2037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C8E3B">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CB704">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8BC86">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8717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32A9CAC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15F7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39F0D82A">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C1F4D">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0279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018C2">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B42D0">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57FDA">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F5EA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F05C5">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2A6A0">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405316C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5DCE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5C37687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6C05">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ADA1">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14989635.13</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DC4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D70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95E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B73E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EEE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A7CFBB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12FA0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E0FB393">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7E5AE59">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27B32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E5519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A555F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75C69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D1703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47B51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C30E2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3C3C50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37B6D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7C5CBC1">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20113</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E3E66CD">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商贸事务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1A259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68C29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CF11A8">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5AF3C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ECC020">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A4EFA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66F0E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9D0B8E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42554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6EDF96E">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2011301</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5F74267">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95685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5B9984">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868F5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1F6D00">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5B43E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F6BCB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1F455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75341B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319AF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B4D78E9">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2011302</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63028F9">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386D5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DA982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110500">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3D540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DA184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FB151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5F1B8">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983D45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7AAE9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6D7FB55">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2011308</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A947FF5">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招商引资</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DD7B5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3143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59BF9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1A90F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8B21E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82BD15">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8176ED">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FCEFF2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2AA1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92F8FA2">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BB2FB7">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EB7DD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F5219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8317E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3AA8A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FEE791">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35AF1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B620A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5361158">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3ED1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B4E9D22">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21598</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0F1212F">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超长期特别国债安排的支出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AA4C35">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C1054D">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EAEA55">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2A068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91E87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6E857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4E56E1">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49B275D">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5CAA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6483F22">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2159802</w:t>
            </w:r>
          </w:p>
        </w:tc>
        <w:tc>
          <w:tcPr>
            <w:tcW w:w="21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5FD6FE">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pacing w:val="0"/>
                <w:w w:val="100"/>
                <w:sz w:val="20"/>
                <w:szCs w:val="20"/>
                <w:u w:val="none"/>
                <w:lang w:val="en-US" w:eastAsia="zh-CN" w:bidi="ar-SA"/>
              </w:rPr>
            </w:pPr>
            <w:r>
              <w:rPr>
                <w:rFonts w:ascii="宋体" w:hAnsi="宋体" w:eastAsia="宋体" w:cs="宋体"/>
                <w:i w:val="0"/>
                <w:iCs w:val="0"/>
                <w:color w:val="000000"/>
                <w:spacing w:val="0"/>
                <w:w w:val="100"/>
                <w:sz w:val="20"/>
                <w:szCs w:val="20"/>
                <w:u w:val="none"/>
                <w:lang w:val="en-US" w:eastAsia="zh-CN" w:bidi="ar-SA"/>
              </w:rPr>
              <w:t>制造业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FDFE3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09B54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0300F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7DBFA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FDB70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690CF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6B071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F7A7528">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E73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noWrap w:val="0"/>
            <w:vAlign w:val="center"/>
          </w:tcPr>
          <w:p w14:paraId="7EAE575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注：本表反映本年度取得的各项收入情况。</w:t>
            </w:r>
          </w:p>
        </w:tc>
      </w:tr>
    </w:tbl>
    <w:p w14:paraId="267AD690">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5" w:name="_Toc1420"/>
      <w:r>
        <w:rPr>
          <w:rFonts w:hint="eastAsia" w:ascii="黑体" w:hAnsi="黑体" w:eastAsia="黑体"/>
          <w:b w:val="0"/>
          <w:bCs w:val="0"/>
          <w:sz w:val="30"/>
          <w:szCs w:val="30"/>
          <w:lang w:val="en-US" w:eastAsia="zh-CN"/>
        </w:rPr>
        <w:t>三、《收入决算表（按单位列示）》</w:t>
      </w:r>
      <w:bookmarkEnd w:id="5"/>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2DA8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01A8B168">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部门：天津经济技术开发区南港工业区产业促进办公室</w:t>
            </w:r>
          </w:p>
        </w:tc>
        <w:tc>
          <w:tcPr>
            <w:tcW w:w="1285" w:type="dxa"/>
            <w:tcBorders>
              <w:top w:val="nil"/>
              <w:left w:val="nil"/>
              <w:bottom w:val="single" w:color="000000" w:sz="4" w:space="0"/>
              <w:right w:val="nil"/>
            </w:tcBorders>
            <w:noWrap/>
            <w:vAlign w:val="center"/>
          </w:tcPr>
          <w:p w14:paraId="32AD6BD1">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tcBorders>
              <w:top w:val="nil"/>
              <w:left w:val="nil"/>
              <w:bottom w:val="single" w:color="000000" w:sz="4" w:space="0"/>
              <w:right w:val="nil"/>
            </w:tcBorders>
            <w:noWrap/>
            <w:vAlign w:val="center"/>
          </w:tcPr>
          <w:p w14:paraId="4A006A4C">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tcBorders>
              <w:top w:val="nil"/>
              <w:left w:val="nil"/>
              <w:bottom w:val="single" w:color="000000" w:sz="4" w:space="0"/>
              <w:right w:val="nil"/>
            </w:tcBorders>
            <w:noWrap/>
            <w:vAlign w:val="center"/>
          </w:tcPr>
          <w:p w14:paraId="3010AD06">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2658" w:type="dxa"/>
            <w:gridSpan w:val="2"/>
            <w:tcBorders>
              <w:top w:val="nil"/>
              <w:left w:val="nil"/>
              <w:bottom w:val="single" w:color="000000" w:sz="4" w:space="0"/>
              <w:right w:val="nil"/>
            </w:tcBorders>
            <w:noWrap/>
            <w:vAlign w:val="center"/>
          </w:tcPr>
          <w:p w14:paraId="7E35143B">
            <w:pPr>
              <w:keepNext w:val="0"/>
              <w:keepLines w:val="0"/>
              <w:widowControl/>
              <w:suppressLineNumbers w:val="0"/>
              <w:adjustRightInd w:val="0"/>
              <w:spacing w:line="360" w:lineRule="atLeast"/>
              <w:jc w:val="right"/>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金额单位：元</w:t>
            </w:r>
          </w:p>
        </w:tc>
      </w:tr>
      <w:tr w14:paraId="61E75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59089">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B446C">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43B9C">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1F5E0276">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本年收入</w:t>
            </w:r>
          </w:p>
        </w:tc>
      </w:tr>
      <w:tr w14:paraId="76A4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FD24D">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4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A9EF4">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6DC7A">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1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62B4F4">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小计</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77D75BE6">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8F99BB">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6C19DC87">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4DE2C">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339E8BA4">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7A3A656F">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4C0B0">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0E8890">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E837E6E">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其他收入</w:t>
            </w:r>
          </w:p>
        </w:tc>
      </w:tr>
      <w:tr w14:paraId="49FBE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6202D">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4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2C6EE">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C48F7">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1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93310">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863C1">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ED2D0">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0B1D4">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B64CE">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2C4CB">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B42B8">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335CA">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DA376">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5BF37">
            <w:pPr>
              <w:widowControl w:val="0"/>
              <w:adjustRightIn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r>
      <w:tr w14:paraId="5441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noWrap w:val="0"/>
            <w:vAlign w:val="center"/>
          </w:tcPr>
          <w:p w14:paraId="516A6B9D">
            <w:pPr>
              <w:keepNext w:val="0"/>
              <w:keepLines w:val="0"/>
              <w:widowControl/>
              <w:suppressLineNumbers w:val="0"/>
              <w:adjustRightIn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合计</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83F09D1">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kern w:val="0"/>
                <w:sz w:val="13"/>
                <w:szCs w:val="13"/>
                <w:u w:val="none"/>
                <w:lang w:val="en-US" w:eastAsia="zh-CN" w:bidi="ar-SA"/>
              </w:rPr>
              <w:t>14989635.13</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3361E02E">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kern w:val="0"/>
                <w:sz w:val="13"/>
                <w:szCs w:val="13"/>
                <w:u w:val="none"/>
                <w:lang w:val="en-US" w:eastAsia="zh-CN" w:bidi="ar-SA"/>
              </w:rPr>
              <w:t>14989635.13</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080179FA">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kern w:val="0"/>
                <w:sz w:val="13"/>
                <w:szCs w:val="13"/>
                <w:u w:val="none"/>
                <w:lang w:val="en-US" w:eastAsia="zh-CN" w:bidi="ar-SA"/>
              </w:rPr>
              <w:t>11229635.13</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79EFD1C7">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kern w:val="0"/>
                <w:sz w:val="13"/>
                <w:szCs w:val="13"/>
                <w:u w:val="none"/>
                <w:lang w:val="en-US" w:eastAsia="zh-CN" w:bidi="ar-SA"/>
              </w:rPr>
              <w:t>3760000.00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77EBE1A">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7DD8DE22">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642360B">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6868101F">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4E8583C6">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579F4831">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225E204A">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r>
      <w:tr w14:paraId="6B464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5C48661">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000000"/>
                <w:kern w:val="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392101</w:t>
            </w:r>
          </w:p>
        </w:tc>
        <w:tc>
          <w:tcPr>
            <w:tcW w:w="1405" w:type="dxa"/>
            <w:tcBorders>
              <w:top w:val="single" w:color="000000" w:sz="4" w:space="0"/>
              <w:left w:val="single" w:color="000000" w:sz="4" w:space="0"/>
              <w:bottom w:val="single" w:color="000000" w:sz="4" w:space="0"/>
              <w:right w:val="single" w:color="000000" w:sz="4" w:space="0"/>
            </w:tcBorders>
            <w:noWrap w:val="0"/>
            <w:vAlign w:val="center"/>
          </w:tcPr>
          <w:p w14:paraId="687C40F7">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000000"/>
                <w:kern w:val="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天津经济技术开发区南港工业区产业促进办公室</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2A02E3F2">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sz w:val="13"/>
                <w:szCs w:val="13"/>
                <w:u w:val="none"/>
                <w:lang w:val="en-US" w:eastAsia="zh-CN" w:bidi="ar-SA"/>
              </w:rPr>
              <w:t>14989635.13</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73C94FCC">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sz w:val="13"/>
                <w:szCs w:val="13"/>
                <w:u w:val="none"/>
                <w:lang w:val="en-US" w:eastAsia="zh-CN" w:bidi="ar-SA"/>
              </w:rPr>
              <w:t>14989635.13</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4CCDBA86">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sz w:val="13"/>
                <w:szCs w:val="13"/>
                <w:u w:val="none"/>
                <w:lang w:val="en-US" w:eastAsia="zh-CN" w:bidi="ar-SA"/>
              </w:rPr>
              <w:t>11229635.13</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0F0F8598">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r>
              <w:rPr>
                <w:rFonts w:ascii="Times New Roman" w:hAnsi="Times New Roman" w:eastAsia="宋体" w:cs="Times New Roman"/>
                <w:i w:val="0"/>
                <w:iCs w:val="0"/>
                <w:color w:val="000000"/>
                <w:sz w:val="13"/>
                <w:szCs w:val="13"/>
                <w:u w:val="none"/>
                <w:lang w:val="en-US" w:eastAsia="zh-CN" w:bidi="ar-SA"/>
              </w:rPr>
              <w:t>3760000.00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7040D003">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E21821E">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C29825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06E1BBAF">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27877F56">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017057CE">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4E974EC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r>
      <w:tr w14:paraId="3486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noWrap w:val="0"/>
            <w:vAlign w:val="center"/>
          </w:tcPr>
          <w:p w14:paraId="7736F159">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注：本表反映本年度取得的各项收入情况。财政专户管理资金是指教育收费；事业收入不含教育收费。</w:t>
            </w:r>
          </w:p>
        </w:tc>
      </w:tr>
    </w:tbl>
    <w:p w14:paraId="41355EBA">
      <w:pPr>
        <w:pStyle w:val="22"/>
        <w:wordWrap w:val="0"/>
        <w:spacing w:before="0" w:after="0" w:line="240" w:lineRule="auto"/>
        <w:ind w:firstLine="0" w:firstLineChars="0"/>
        <w:rPr>
          <w:rFonts w:hint="eastAsia" w:ascii="黑体" w:hAnsi="黑体" w:eastAsia="黑体"/>
          <w:sz w:val="30"/>
          <w:szCs w:val="30"/>
          <w:lang w:val="en-US" w:eastAsia="zh-CN"/>
        </w:rPr>
      </w:pPr>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72FB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376EB3F7">
            <w:pPr>
              <w:widowControl w:val="0"/>
              <w:adjustRightInd w:val="0"/>
              <w:snapToGrid w:val="0"/>
              <w:spacing w:line="360" w:lineRule="atLeast"/>
              <w:textAlignment w:val="baseline"/>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部门：天津经济技术开发区南港工业区产业促进办公室</w:t>
            </w:r>
          </w:p>
        </w:tc>
        <w:tc>
          <w:tcPr>
            <w:tcW w:w="3576" w:type="dxa"/>
            <w:gridSpan w:val="2"/>
            <w:tcBorders>
              <w:top w:val="nil"/>
              <w:left w:val="nil"/>
              <w:bottom w:val="single" w:color="000000" w:sz="4" w:space="0"/>
              <w:right w:val="nil"/>
            </w:tcBorders>
            <w:noWrap/>
            <w:vAlign w:val="center"/>
          </w:tcPr>
          <w:p w14:paraId="5AD93557">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kern w:val="0"/>
                <w:sz w:val="16"/>
                <w:szCs w:val="16"/>
                <w:u w:val="none"/>
                <w:lang w:val="en-US" w:eastAsia="zh-CN" w:bidi="ar-SA"/>
              </w:rPr>
            </w:pPr>
          </w:p>
        </w:tc>
        <w:tc>
          <w:tcPr>
            <w:tcW w:w="3709" w:type="dxa"/>
            <w:gridSpan w:val="2"/>
            <w:tcBorders>
              <w:top w:val="nil"/>
              <w:left w:val="nil"/>
              <w:bottom w:val="single" w:color="000000" w:sz="4" w:space="0"/>
              <w:right w:val="nil"/>
            </w:tcBorders>
            <w:noWrap/>
            <w:vAlign w:val="center"/>
          </w:tcPr>
          <w:p w14:paraId="371BB376">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kern w:val="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金额单位：元</w:t>
            </w:r>
          </w:p>
        </w:tc>
      </w:tr>
      <w:tr w14:paraId="4C1D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A10A2B">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926CD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noWrap w:val="0"/>
            <w:vAlign w:val="center"/>
          </w:tcPr>
          <w:p w14:paraId="05373A54">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上年结转和结余</w:t>
            </w:r>
          </w:p>
        </w:tc>
      </w:tr>
      <w:tr w14:paraId="0907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813B3">
            <w:pPr>
              <w:widowControl w:val="0"/>
              <w:adjustRightInd w:val="0"/>
              <w:snapToGri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06298">
            <w:pPr>
              <w:widowControl w:val="0"/>
              <w:adjustRightInd w:val="0"/>
              <w:snapToGri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4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57CE68">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小计</w:t>
            </w:r>
          </w:p>
        </w:tc>
        <w:tc>
          <w:tcPr>
            <w:tcW w:w="7320" w:type="dxa"/>
            <w:gridSpan w:val="4"/>
            <w:tcBorders>
              <w:top w:val="single" w:color="000000" w:sz="4" w:space="0"/>
              <w:left w:val="single" w:color="000000" w:sz="4" w:space="0"/>
              <w:bottom w:val="single" w:color="000000" w:sz="4" w:space="0"/>
              <w:right w:val="single" w:color="000000" w:sz="4" w:space="0"/>
            </w:tcBorders>
            <w:noWrap w:val="0"/>
            <w:vAlign w:val="center"/>
          </w:tcPr>
          <w:p w14:paraId="203BFE8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noWrap w:val="0"/>
            <w:vAlign w:val="center"/>
          </w:tcPr>
          <w:p w14:paraId="5DE9EEA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非财政拨款结转结余</w:t>
            </w:r>
          </w:p>
        </w:tc>
      </w:tr>
      <w:tr w14:paraId="5CDC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B9335">
            <w:pPr>
              <w:widowControl w:val="0"/>
              <w:adjustRightInd w:val="0"/>
              <w:snapToGri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A20A7">
            <w:pPr>
              <w:widowControl w:val="0"/>
              <w:adjustRightInd w:val="0"/>
              <w:snapToGri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4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128EA">
            <w:pPr>
              <w:widowControl w:val="0"/>
              <w:adjustRightInd w:val="0"/>
              <w:snapToGrid w:val="0"/>
              <w:spacing w:line="360" w:lineRule="atLeast"/>
              <w:jc w:val="center"/>
              <w:textAlignment w:val="baseline"/>
              <w:rPr>
                <w:rFonts w:hint="eastAsia" w:ascii="宋体" w:hAnsi="宋体" w:eastAsia="宋体" w:cs="宋体"/>
                <w:i w:val="0"/>
                <w:iCs w:val="0"/>
                <w:color w:val="000000"/>
                <w:sz w:val="16"/>
                <w:szCs w:val="16"/>
                <w:u w:val="none"/>
                <w:lang w:val="en-US" w:eastAsia="zh-CN" w:bidi="ar-SA"/>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8DD8E7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小计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14:paraId="64278C9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一般公共预算</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02258C9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政府性基金预算</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2BD1AB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国有资本经营预算</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14:paraId="7EFC9BB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小计</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AC3FFC8">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1849" w:type="dxa"/>
            <w:tcBorders>
              <w:top w:val="single" w:color="000000" w:sz="4" w:space="0"/>
              <w:left w:val="single" w:color="000000" w:sz="4" w:space="0"/>
              <w:bottom w:val="single" w:color="000000" w:sz="4" w:space="0"/>
              <w:right w:val="single" w:color="000000" w:sz="4" w:space="0"/>
            </w:tcBorders>
            <w:noWrap w:val="0"/>
            <w:vAlign w:val="center"/>
          </w:tcPr>
          <w:p w14:paraId="2A8E655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r>
      <w:tr w14:paraId="257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noWrap w:val="0"/>
            <w:vAlign w:val="center"/>
          </w:tcPr>
          <w:p w14:paraId="3B51854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合计</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30D80D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F856DC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02" w:type="dxa"/>
            <w:tcBorders>
              <w:top w:val="single" w:color="000000" w:sz="4" w:space="0"/>
              <w:left w:val="single" w:color="000000" w:sz="4" w:space="0"/>
              <w:bottom w:val="single" w:color="000000" w:sz="4" w:space="0"/>
              <w:right w:val="single" w:color="000000" w:sz="4" w:space="0"/>
            </w:tcBorders>
            <w:noWrap w:val="0"/>
            <w:vAlign w:val="center"/>
          </w:tcPr>
          <w:p w14:paraId="574F571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9F7659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0D48DE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692" w:type="dxa"/>
            <w:tcBorders>
              <w:top w:val="single" w:color="000000" w:sz="4" w:space="0"/>
              <w:left w:val="single" w:color="000000" w:sz="4" w:space="0"/>
              <w:bottom w:val="single" w:color="000000" w:sz="4" w:space="0"/>
              <w:right w:val="single" w:color="000000" w:sz="4" w:space="0"/>
            </w:tcBorders>
            <w:noWrap w:val="0"/>
            <w:vAlign w:val="center"/>
          </w:tcPr>
          <w:p w14:paraId="0697D97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B43FCE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49" w:type="dxa"/>
            <w:tcBorders>
              <w:top w:val="single" w:color="000000" w:sz="4" w:space="0"/>
              <w:left w:val="single" w:color="000000" w:sz="4" w:space="0"/>
              <w:bottom w:val="single" w:color="000000" w:sz="4" w:space="0"/>
              <w:right w:val="single" w:color="000000" w:sz="4" w:space="0"/>
            </w:tcBorders>
            <w:noWrap w:val="0"/>
            <w:vAlign w:val="center"/>
          </w:tcPr>
          <w:p w14:paraId="4A3116B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r>
      <w:tr w14:paraId="52C8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noWrap w:val="0"/>
            <w:vAlign w:val="center"/>
          </w:tcPr>
          <w:p w14:paraId="362E3690">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auto"/>
                <w:kern w:val="0"/>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SA"/>
              </w:rPr>
              <w:t>392101</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9667DC6">
            <w:pPr>
              <w:keepNext w:val="0"/>
              <w:keepLines w:val="0"/>
              <w:widowControl/>
              <w:suppressLineNumbers w:val="0"/>
              <w:adjustRightInd w:val="0"/>
              <w:spacing w:line="360" w:lineRule="atLeast"/>
              <w:jc w:val="left"/>
              <w:textAlignment w:val="center"/>
              <w:rPr>
                <w:rFonts w:hint="eastAsia" w:ascii="宋体" w:hAnsi="宋体" w:eastAsia="宋体" w:cs="宋体"/>
                <w:i w:val="0"/>
                <w:iCs w:val="0"/>
                <w:color w:val="auto"/>
                <w:kern w:val="0"/>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SA"/>
              </w:rPr>
              <w:t>天津经济技术开发区南港工业区产业促进办公室</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72A2F09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12297DA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02" w:type="dxa"/>
            <w:tcBorders>
              <w:top w:val="single" w:color="000000" w:sz="4" w:space="0"/>
              <w:left w:val="single" w:color="000000" w:sz="4" w:space="0"/>
              <w:bottom w:val="single" w:color="000000" w:sz="4" w:space="0"/>
              <w:right w:val="single" w:color="000000" w:sz="4" w:space="0"/>
            </w:tcBorders>
            <w:noWrap w:val="0"/>
            <w:vAlign w:val="center"/>
          </w:tcPr>
          <w:p w14:paraId="11014E3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3A80AAF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9D42D5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692" w:type="dxa"/>
            <w:tcBorders>
              <w:top w:val="single" w:color="000000" w:sz="4" w:space="0"/>
              <w:left w:val="single" w:color="000000" w:sz="4" w:space="0"/>
              <w:bottom w:val="single" w:color="000000" w:sz="4" w:space="0"/>
              <w:right w:val="single" w:color="000000" w:sz="4" w:space="0"/>
            </w:tcBorders>
            <w:noWrap w:val="0"/>
            <w:vAlign w:val="center"/>
          </w:tcPr>
          <w:p w14:paraId="15FC133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FF504E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c>
          <w:tcPr>
            <w:tcW w:w="1849" w:type="dxa"/>
            <w:tcBorders>
              <w:top w:val="single" w:color="000000" w:sz="4" w:space="0"/>
              <w:left w:val="single" w:color="000000" w:sz="4" w:space="0"/>
              <w:bottom w:val="single" w:color="000000" w:sz="4" w:space="0"/>
              <w:right w:val="single" w:color="000000" w:sz="4" w:space="0"/>
            </w:tcBorders>
            <w:noWrap w:val="0"/>
            <w:vAlign w:val="center"/>
          </w:tcPr>
          <w:p w14:paraId="71CC329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13"/>
                <w:szCs w:val="13"/>
                <w:u w:val="none"/>
                <w:lang w:val="en-US" w:eastAsia="zh-CN" w:bidi="ar-SA"/>
              </w:rPr>
            </w:pPr>
          </w:p>
        </w:tc>
      </w:tr>
      <w:tr w14:paraId="15672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noWrap w:val="0"/>
            <w:vAlign w:val="center"/>
          </w:tcPr>
          <w:p w14:paraId="6F94CFA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注：本表反映本年度取得的各项收入情况。财政专户管理资金是指教育收费；事业收入不含教育收费。</w:t>
            </w:r>
          </w:p>
        </w:tc>
      </w:tr>
    </w:tbl>
    <w:p w14:paraId="1067D2F4">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FB32071">
      <w:pPr>
        <w:pStyle w:val="22"/>
        <w:wordWrap w:val="0"/>
        <w:spacing w:before="0" w:after="0" w:line="800" w:lineRule="exact"/>
        <w:ind w:firstLine="600" w:firstLineChars="200"/>
        <w:rPr>
          <w:rFonts w:hint="eastAsia" w:ascii="黑体" w:hAnsi="黑体" w:eastAsia="黑体"/>
          <w:b w:val="0"/>
          <w:bCs w:val="0"/>
          <w:sz w:val="30"/>
          <w:szCs w:val="30"/>
          <w:lang w:val="en-US" w:eastAsia="zh-CN"/>
        </w:rPr>
      </w:pPr>
      <w:bookmarkStart w:id="6" w:name="_Toc16222"/>
      <w:r>
        <w:rPr>
          <w:rFonts w:hint="eastAsia" w:ascii="黑体" w:hAnsi="黑体" w:eastAsia="黑体"/>
          <w:b w:val="0"/>
          <w:bCs w:val="0"/>
          <w:sz w:val="30"/>
          <w:szCs w:val="30"/>
          <w:lang w:val="en-US" w:eastAsia="zh-CN"/>
        </w:rPr>
        <w:t>四、《支出决算表》</w:t>
      </w:r>
      <w:bookmarkEnd w:id="6"/>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03916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05DD5C94">
            <w:pPr>
              <w:widowControl w:val="0"/>
              <w:adjustRightInd w:val="0"/>
              <w:snapToGrid w:val="0"/>
              <w:spacing w:line="360" w:lineRule="atLeast"/>
              <w:jc w:val="left"/>
              <w:textAlignment w:val="baseline"/>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016" w:type="dxa"/>
            <w:tcBorders>
              <w:top w:val="nil"/>
              <w:left w:val="nil"/>
              <w:bottom w:val="single" w:color="000000" w:sz="4" w:space="0"/>
              <w:right w:val="nil"/>
            </w:tcBorders>
            <w:shd w:val="clear" w:color="auto" w:fill="FFFFFF"/>
            <w:noWrap/>
            <w:vAlign w:val="center"/>
          </w:tcPr>
          <w:p w14:paraId="4E5E7D61">
            <w:pPr>
              <w:widowControl w:val="0"/>
              <w:adjustRightInd w:val="0"/>
              <w:snapToGrid w:val="0"/>
              <w:spacing w:line="360" w:lineRule="atLeast"/>
              <w:jc w:val="center"/>
              <w:textAlignment w:val="baseline"/>
              <w:rPr>
                <w:rFonts w:hint="eastAsia" w:ascii="宋体" w:hAnsi="宋体" w:eastAsia="宋体" w:cs="宋体"/>
                <w:i w:val="0"/>
                <w:iCs w:val="0"/>
                <w:color w:val="000000"/>
                <w:sz w:val="22"/>
                <w:szCs w:val="22"/>
                <w:u w:val="none"/>
                <w:lang w:val="en-US" w:eastAsia="zh-CN" w:bidi="ar-SA"/>
              </w:rPr>
            </w:pPr>
          </w:p>
        </w:tc>
        <w:tc>
          <w:tcPr>
            <w:tcW w:w="2010" w:type="dxa"/>
            <w:tcBorders>
              <w:top w:val="nil"/>
              <w:left w:val="nil"/>
              <w:bottom w:val="single" w:color="000000" w:sz="4" w:space="0"/>
              <w:right w:val="nil"/>
            </w:tcBorders>
            <w:shd w:val="clear" w:color="auto" w:fill="FFFFFF"/>
            <w:noWrap/>
            <w:vAlign w:val="center"/>
          </w:tcPr>
          <w:p w14:paraId="7E3084B6">
            <w:pPr>
              <w:widowControl w:val="0"/>
              <w:adjustRightInd w:val="0"/>
              <w:snapToGrid w:val="0"/>
              <w:spacing w:line="360" w:lineRule="atLeast"/>
              <w:jc w:val="right"/>
              <w:textAlignment w:val="baseline"/>
              <w:rPr>
                <w:rFonts w:hint="eastAsia" w:ascii="宋体" w:hAnsi="宋体" w:eastAsia="宋体" w:cs="宋体"/>
                <w:i w:val="0"/>
                <w:iCs w:val="0"/>
                <w:color w:val="000000"/>
                <w:sz w:val="22"/>
                <w:szCs w:val="22"/>
                <w:u w:val="none"/>
                <w:lang w:val="en-US" w:eastAsia="zh-CN" w:bidi="ar-SA"/>
              </w:rPr>
            </w:pPr>
          </w:p>
        </w:tc>
        <w:tc>
          <w:tcPr>
            <w:tcW w:w="2062" w:type="dxa"/>
            <w:tcBorders>
              <w:top w:val="nil"/>
              <w:left w:val="nil"/>
              <w:bottom w:val="single" w:color="000000" w:sz="4" w:space="0"/>
              <w:right w:val="nil"/>
            </w:tcBorders>
            <w:shd w:val="clear" w:color="auto" w:fill="FFFFFF"/>
            <w:noWrap/>
            <w:vAlign w:val="center"/>
          </w:tcPr>
          <w:p w14:paraId="1228E833">
            <w:pPr>
              <w:widowControl w:val="0"/>
              <w:adjustRightInd w:val="0"/>
              <w:snapToGrid w:val="0"/>
              <w:spacing w:line="360" w:lineRule="atLeast"/>
              <w:jc w:val="right"/>
              <w:textAlignment w:val="baseline"/>
              <w:rPr>
                <w:rFonts w:hint="eastAsia" w:ascii="宋体" w:hAnsi="宋体" w:eastAsia="宋体" w:cs="宋体"/>
                <w:i w:val="0"/>
                <w:iCs w:val="0"/>
                <w:color w:val="000000"/>
                <w:sz w:val="22"/>
                <w:szCs w:val="22"/>
                <w:u w:val="none"/>
                <w:lang w:val="en-US" w:eastAsia="zh-CN" w:bidi="ar-SA"/>
              </w:rPr>
            </w:pPr>
          </w:p>
        </w:tc>
        <w:tc>
          <w:tcPr>
            <w:tcW w:w="2062" w:type="dxa"/>
            <w:tcBorders>
              <w:top w:val="nil"/>
              <w:left w:val="nil"/>
              <w:bottom w:val="single" w:color="000000" w:sz="4" w:space="0"/>
              <w:right w:val="nil"/>
            </w:tcBorders>
            <w:shd w:val="clear" w:color="auto" w:fill="FFFFFF"/>
            <w:noWrap/>
            <w:vAlign w:val="center"/>
          </w:tcPr>
          <w:p w14:paraId="043D0B9A">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05B10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7160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D60EA">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91D5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47EED">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FFF3C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9E42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5590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对附属单位补助支出</w:t>
            </w:r>
          </w:p>
        </w:tc>
      </w:tr>
      <w:tr w14:paraId="614EE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7071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F954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7E52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5D88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4133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F4EE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DADF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837F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58C2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5AE9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D40DB">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5FF9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220C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2DB9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4490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36A0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FFAF9">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3D9E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370E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2BF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lang w:val="en-US" w:eastAsia="zh-CN" w:bidi="ar-SA"/>
              </w:rPr>
              <w:t>14989635.13</w:t>
            </w:r>
          </w:p>
          <w:p w14:paraId="3124D4A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71B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lang w:val="en-US" w:eastAsia="zh-CN" w:bidi="ar-SA"/>
              </w:rPr>
              <w:t>10226332.76</w:t>
            </w:r>
          </w:p>
          <w:p w14:paraId="4199E8B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A88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lang w:val="en-US" w:eastAsia="zh-CN" w:bidi="ar-SA"/>
              </w:rPr>
              <w:t>4763302.37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3372">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p w14:paraId="5376F51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8B03">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A35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kern w:val="0"/>
                <w:sz w:val="20"/>
                <w:szCs w:val="20"/>
                <w:lang w:val="en-US" w:eastAsia="zh-CN" w:bidi="ar-SA"/>
              </w:rPr>
            </w:pPr>
          </w:p>
        </w:tc>
      </w:tr>
      <w:tr w14:paraId="4D11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EF58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C532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659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43A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7FA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D4F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99C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76CF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49519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B75B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9B5A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商贸事务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664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11229635.13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C8A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D1C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721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D00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AC6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3958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FDA9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5DCD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D7483">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859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10226332.76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82D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F9F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C58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41F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061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2DE7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0AB9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235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6EE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0F2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496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911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45C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5E05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8709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2011308</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6B7F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招商引资</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3A3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56E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DE5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D9D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01E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F913">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890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453A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EE9F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D8B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4CF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2EA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5EB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E3F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16A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2477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BA01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F36F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超长期特别国债安排的支出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5A8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DD9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B373">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66B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CEC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ABAF">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273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4022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2159802</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D10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制造业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32D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EE4F">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F25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FAA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92CE6">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5A0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2267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noWrap w:val="0"/>
            <w:vAlign w:val="center"/>
          </w:tcPr>
          <w:p w14:paraId="7FAFF02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注：本表反映本年度各项支出情况。</w:t>
            </w:r>
          </w:p>
        </w:tc>
      </w:tr>
    </w:tbl>
    <w:p w14:paraId="72D0C018">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7" w:name="_Toc10133"/>
      <w:r>
        <w:rPr>
          <w:rFonts w:hint="eastAsia" w:ascii="黑体" w:hAnsi="黑体" w:eastAsia="黑体"/>
          <w:b w:val="0"/>
          <w:bCs w:val="0"/>
          <w:sz w:val="30"/>
          <w:szCs w:val="30"/>
          <w:lang w:val="en-US" w:eastAsia="zh-CN"/>
        </w:rPr>
        <w:t>五、《财政拨款收入支出决算总表》</w:t>
      </w:r>
      <w:bookmarkEnd w:id="7"/>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14321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6B06EFFA">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004" w:type="dxa"/>
            <w:tcBorders>
              <w:top w:val="nil"/>
              <w:left w:val="nil"/>
              <w:bottom w:val="nil"/>
              <w:right w:val="nil"/>
            </w:tcBorders>
            <w:shd w:val="clear" w:color="auto" w:fill="FFFFFF"/>
            <w:noWrap/>
            <w:vAlign w:val="center"/>
          </w:tcPr>
          <w:p w14:paraId="635DB4F3">
            <w:pPr>
              <w:widowControl w:val="0"/>
              <w:adjustRightInd w:val="0"/>
              <w:snapToGrid w:val="0"/>
              <w:spacing w:line="360" w:lineRule="atLeast"/>
              <w:jc w:val="right"/>
              <w:textAlignment w:val="baseline"/>
              <w:rPr>
                <w:rFonts w:hint="eastAsia" w:ascii="宋体" w:hAnsi="宋体" w:eastAsia="宋体" w:cs="宋体"/>
                <w:i w:val="0"/>
                <w:iCs w:val="0"/>
                <w:color w:val="000000"/>
                <w:sz w:val="20"/>
                <w:szCs w:val="20"/>
                <w:u w:val="none"/>
                <w:lang w:val="en-US" w:eastAsia="zh-CN" w:bidi="ar-SA"/>
              </w:rPr>
            </w:pPr>
          </w:p>
        </w:tc>
        <w:tc>
          <w:tcPr>
            <w:tcW w:w="1992" w:type="dxa"/>
            <w:tcBorders>
              <w:top w:val="nil"/>
              <w:left w:val="nil"/>
              <w:bottom w:val="nil"/>
              <w:right w:val="nil"/>
            </w:tcBorders>
            <w:shd w:val="clear" w:color="auto" w:fill="FFFFFF"/>
            <w:noWrap/>
            <w:vAlign w:val="center"/>
          </w:tcPr>
          <w:p w14:paraId="29121618">
            <w:pPr>
              <w:widowControl w:val="0"/>
              <w:adjustRightInd w:val="0"/>
              <w:snapToGrid w:val="0"/>
              <w:spacing w:line="360" w:lineRule="atLeast"/>
              <w:jc w:val="right"/>
              <w:textAlignment w:val="baseline"/>
              <w:rPr>
                <w:rFonts w:hint="eastAsia" w:ascii="宋体" w:hAnsi="宋体" w:eastAsia="宋体" w:cs="宋体"/>
                <w:i w:val="0"/>
                <w:iCs w:val="0"/>
                <w:color w:val="000000"/>
                <w:sz w:val="20"/>
                <w:szCs w:val="20"/>
                <w:u w:val="none"/>
                <w:lang w:val="en-US" w:eastAsia="zh-CN" w:bidi="ar-SA"/>
              </w:rPr>
            </w:pPr>
          </w:p>
        </w:tc>
        <w:tc>
          <w:tcPr>
            <w:tcW w:w="3949" w:type="dxa"/>
            <w:gridSpan w:val="2"/>
            <w:tcBorders>
              <w:top w:val="nil"/>
              <w:left w:val="nil"/>
              <w:bottom w:val="nil"/>
              <w:right w:val="nil"/>
            </w:tcBorders>
            <w:shd w:val="clear" w:color="auto" w:fill="FFFFFF"/>
            <w:noWrap/>
            <w:vAlign w:val="center"/>
          </w:tcPr>
          <w:p w14:paraId="2893876E">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34FB7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77B0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59ED4">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w:t>
            </w:r>
          </w:p>
        </w:tc>
      </w:tr>
      <w:tr w14:paraId="20BB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790E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C094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212A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54A1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0ACB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33CF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9A47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国有资本经营预算财政拨款</w:t>
            </w:r>
          </w:p>
        </w:tc>
      </w:tr>
      <w:tr w14:paraId="5D3B4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3B6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1A3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11229635.13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F6BC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F891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11229635.13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424C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11229635.13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7486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A8B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912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22E6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3A8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3760000.00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6014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BA2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32C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3BED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2AD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330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2DC5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EB9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4D9D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0F53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1894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5D06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B2C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12E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13054">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D25A8">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ADA8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947F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EF44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2D5C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92C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392A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56D5F">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289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6878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CD92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1676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679A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BEF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2100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665D5">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649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DC71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1C1F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C565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C590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081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D539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7E355">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1A8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D5D4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569E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C649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1DAD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F4E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323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1F1C9">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142B">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A46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28EF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B0B0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F724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F14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4D8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FF90F">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E5A4">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4BA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2B12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786E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4D4E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7F5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4E9A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A3BF6">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16D7">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F20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CE67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C407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48B6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7B0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67B5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0057A">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F43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B88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E73C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80CD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DF8B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45C8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26D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A6A2D">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55F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5E2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6EB4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3760000.00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CCDD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D9C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3760000.00</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2B8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8ADE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0E622">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421F">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270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629C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92F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BE20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FB3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99B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5D3B1">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012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D0A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AB1D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B7B4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3A21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402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CC1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99DCA">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9BB1">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B2F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92E0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3C2F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6B17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2A9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177F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7FB46">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26B5">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3AF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B511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5AB2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A483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759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0AE5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ACE6">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BF09">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B1D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C15A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9FFD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5EF2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F80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551B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F0593">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A233">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C08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5BDB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D98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008E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921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A35A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9A9A8">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B44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5BD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4C98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4577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07EB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D49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AF1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72DC8">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EB8B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7E6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9838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C0FB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9B6E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2EC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64C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F8928">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812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FD1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D7DC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813E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396C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BE43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44B1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3C5A1">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36FD">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06C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4431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2F6B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5E02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89C3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64624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662A8">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F704">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380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2CF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EAAF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24C4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4BC3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2FA7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4576">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082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14989635.13</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EA1D">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1344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14989635.13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FEE5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11229635.13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AC7F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3760000.00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CD62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764A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0DE3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CB9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0DA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1F66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F477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D6E6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A342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3DA6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9D58">
            <w:pPr>
              <w:keepNext w:val="0"/>
              <w:keepLines w:val="0"/>
              <w:widowControl/>
              <w:suppressLineNumbers w:val="0"/>
              <w:adjustRightInd w:val="0"/>
              <w:snapToGrid w:val="0"/>
              <w:spacing w:line="240" w:lineRule="auto"/>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3571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4740">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F2721">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56E6D">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169EA">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80D1C">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9C86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01F7">
            <w:pPr>
              <w:keepNext w:val="0"/>
              <w:keepLines w:val="0"/>
              <w:widowControl/>
              <w:suppressLineNumbers w:val="0"/>
              <w:adjustRightInd w:val="0"/>
              <w:snapToGrid w:val="0"/>
              <w:spacing w:line="360" w:lineRule="atLeast"/>
              <w:ind w:left="0" w:leftChars="0" w:firstLine="0" w:firstLineChars="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C9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6BA7">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17C45">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4E006">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1E651">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F285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E0E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0D5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573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39C9">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79AB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C0762">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79BC0">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F75EE">
            <w:pPr>
              <w:widowControl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DD7B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C8707">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F90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14989635.13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E3F2F">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B154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14989635.13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98B5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11229635.13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6949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333333"/>
                <w:kern w:val="0"/>
                <w:sz w:val="20"/>
                <w:szCs w:val="20"/>
                <w:u w:val="none"/>
                <w:lang w:val="en-US" w:eastAsia="zh-CN" w:bidi="ar-SA"/>
              </w:rPr>
              <w:t>3760000.00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FC6C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969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3557D7CC">
            <w:pPr>
              <w:keepNext w:val="0"/>
              <w:keepLines w:val="0"/>
              <w:widowControl/>
              <w:suppressLineNumbers w:val="0"/>
              <w:adjustRightInd w:val="0"/>
              <w:snapToGrid w:val="0"/>
              <w:spacing w:line="360" w:lineRule="atLeast"/>
              <w:jc w:val="left"/>
              <w:textAlignment w:val="center"/>
              <w:rPr>
                <w:rFonts w:ascii="等线" w:hAnsi="等线" w:eastAsia="等线" w:cs="等线"/>
                <w:b w:val="0"/>
                <w:bCs w:val="0"/>
                <w:i w:val="0"/>
                <w:iCs w:val="0"/>
                <w:color w:val="333333"/>
                <w:spacing w:val="0"/>
                <w:w w:val="100"/>
                <w:sz w:val="20"/>
                <w:szCs w:val="20"/>
                <w:vertAlign w:val="baseline"/>
                <w:lang w:val="en-US" w:eastAsia="zh-CN" w:bidi="ar-SA"/>
              </w:rPr>
            </w:pPr>
            <w:r>
              <w:rPr>
                <w:rFonts w:hint="eastAsia" w:ascii="宋体" w:hAnsi="宋体" w:eastAsia="宋体" w:cs="宋体"/>
                <w:i w:val="0"/>
                <w:iCs w:val="0"/>
                <w:color w:val="000000"/>
                <w:sz w:val="20"/>
                <w:szCs w:val="20"/>
                <w:u w:val="none"/>
                <w:lang w:val="en-US" w:eastAsia="zh-CN" w:bidi="ar-SA"/>
              </w:rPr>
              <w:t>注：本表反映本年度一般公共预算财政拨款、政府性基金预算财政拨款和国有资本经营预算财政拨款的总收支和年末结转结余情况。</w:t>
            </w:r>
          </w:p>
        </w:tc>
      </w:tr>
    </w:tbl>
    <w:p w14:paraId="0164B473">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8" w:name="_Toc32088"/>
      <w:r>
        <w:rPr>
          <w:rFonts w:hint="eastAsia" w:ascii="黑体" w:hAnsi="黑体" w:eastAsia="黑体"/>
          <w:b w:val="0"/>
          <w:bCs w:val="0"/>
          <w:sz w:val="30"/>
          <w:szCs w:val="30"/>
          <w:lang w:val="en-US" w:eastAsia="zh-CN"/>
        </w:rPr>
        <w:t>六、《一般公共预算财政拨款支出决算表》</w:t>
      </w:r>
      <w:bookmarkEnd w:id="8"/>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36AC2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490D9459">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Style w:val="25"/>
                <w:rFonts w:hint="eastAsia" w:ascii="宋体" w:hAnsi="宋体" w:eastAsia="宋体" w:cs="宋体"/>
                <w:color w:val="000000"/>
                <w:sz w:val="20"/>
                <w:szCs w:val="20"/>
                <w:u w:val="none"/>
                <w:lang w:val="en-US" w:eastAsia="zh-CN" w:bidi="ar-SA"/>
              </w:rPr>
              <w:t>天津经济技术开发区南港工业区产业促进办公室</w:t>
            </w:r>
          </w:p>
        </w:tc>
        <w:tc>
          <w:tcPr>
            <w:tcW w:w="2447" w:type="dxa"/>
            <w:tcBorders>
              <w:top w:val="nil"/>
              <w:left w:val="nil"/>
              <w:bottom w:val="nil"/>
              <w:right w:val="nil"/>
            </w:tcBorders>
            <w:shd w:val="clear" w:color="auto" w:fill="FFFFFF"/>
            <w:noWrap/>
            <w:vAlign w:val="center"/>
          </w:tcPr>
          <w:p w14:paraId="30F9374B">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0B9A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4BDD4A">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1F5A4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F601A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CFB958">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项目支出</w:t>
            </w:r>
          </w:p>
        </w:tc>
      </w:tr>
      <w:tr w14:paraId="6768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1DC31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3511A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DB166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A8283B">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889723">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AD7F7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9E75D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p>
        </w:tc>
      </w:tr>
      <w:tr w14:paraId="05FD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66C00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97466">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11229635.13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582EF">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10226332.76</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48464">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9854817.33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03890">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371515.43</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08886">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1003302.37</w:t>
            </w:r>
          </w:p>
        </w:tc>
      </w:tr>
      <w:tr w14:paraId="2360A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EB26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31CE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8EA36">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11229635.13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0D5A1">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10226332.76</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ACA70">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9854817.33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B8521">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371515.43</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D3047">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1003302.37</w:t>
            </w:r>
          </w:p>
        </w:tc>
      </w:tr>
      <w:tr w14:paraId="3397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EA5E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20113</w:t>
            </w:r>
          </w:p>
        </w:tc>
        <w:tc>
          <w:tcPr>
            <w:tcW w:w="28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0F2F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商贸事务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C294C">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11229635.13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DC209">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10226332.76</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E48F1">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9854817.33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C8A67">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371515.43</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F483C">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1003302.37</w:t>
            </w:r>
          </w:p>
        </w:tc>
      </w:tr>
      <w:tr w14:paraId="58BC5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DDA4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2011301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5D6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9F5AC">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10226332.76</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BFB42">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10226332.76</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9CFF4">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9854817.33</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90868">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371515.43</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2144E">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r>
      <w:tr w14:paraId="0E48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6DBE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2011302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7512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6B33F">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480000.00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7AF5E">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33788">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1B6DB">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A981D">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480000.00</w:t>
            </w:r>
          </w:p>
        </w:tc>
      </w:tr>
      <w:tr w14:paraId="6BF3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437C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2011308</w:t>
            </w:r>
          </w:p>
        </w:tc>
        <w:tc>
          <w:tcPr>
            <w:tcW w:w="28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5718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招商引资</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72346">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523302.37</w:t>
            </w: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BAF96">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8DACC">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28B63">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C474F">
            <w:pPr>
              <w:keepNext w:val="0"/>
              <w:keepLines w:val="0"/>
              <w:widowControl/>
              <w:suppressLineNumbers w:val="0"/>
              <w:adjustRightInd w:val="0"/>
              <w:snapToGrid w:val="0"/>
              <w:spacing w:line="360" w:lineRule="atLeast"/>
              <w:jc w:val="right"/>
              <w:textAlignment w:val="center"/>
              <w:rPr>
                <w:rFonts w:ascii="宋体" w:hAnsi="宋体" w:eastAsia="宋体" w:cs="宋体"/>
                <w:i w:val="0"/>
                <w:iCs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SA"/>
              </w:rPr>
              <w:t>523302.37</w:t>
            </w:r>
          </w:p>
        </w:tc>
      </w:tr>
      <w:tr w14:paraId="0DD6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noWrap w:val="0"/>
            <w:vAlign w:val="center"/>
          </w:tcPr>
          <w:p w14:paraId="5A38D2A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注：本表反映本年度一般公共预算财政拨款支出情况。</w:t>
            </w:r>
          </w:p>
        </w:tc>
      </w:tr>
    </w:tbl>
    <w:p w14:paraId="7EB9285A">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9" w:name="_Toc8838"/>
      <w:r>
        <w:rPr>
          <w:rFonts w:hint="eastAsia" w:ascii="黑体" w:hAnsi="黑体" w:eastAsia="黑体"/>
          <w:b w:val="0"/>
          <w:bCs w:val="0"/>
          <w:sz w:val="30"/>
          <w:szCs w:val="30"/>
          <w:lang w:val="en-US" w:eastAsia="zh-CN"/>
        </w:rPr>
        <w:t>七、《一般公共预算财政拨款基本支出决算表》</w:t>
      </w:r>
      <w:bookmarkEnd w:id="9"/>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05B4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7F507E14">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231" w:type="dxa"/>
            <w:tcBorders>
              <w:top w:val="nil"/>
              <w:left w:val="nil"/>
              <w:bottom w:val="nil"/>
              <w:right w:val="nil"/>
            </w:tcBorders>
            <w:noWrap/>
            <w:vAlign w:val="center"/>
          </w:tcPr>
          <w:p w14:paraId="522F7944">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797" w:type="dxa"/>
            <w:tcBorders>
              <w:top w:val="nil"/>
              <w:left w:val="nil"/>
              <w:bottom w:val="nil"/>
              <w:right w:val="nil"/>
            </w:tcBorders>
            <w:noWrap/>
            <w:vAlign w:val="center"/>
          </w:tcPr>
          <w:p w14:paraId="22BB810A">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4633" w:type="dxa"/>
            <w:gridSpan w:val="2"/>
            <w:tcBorders>
              <w:top w:val="nil"/>
              <w:left w:val="nil"/>
              <w:bottom w:val="nil"/>
              <w:right w:val="nil"/>
            </w:tcBorders>
            <w:noWrap/>
            <w:vAlign w:val="center"/>
          </w:tcPr>
          <w:p w14:paraId="7930C679">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2A0A9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15735E1F">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1C1F74B0">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公用经费</w:t>
            </w:r>
          </w:p>
        </w:tc>
      </w:tr>
      <w:tr w14:paraId="46A4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13C7B9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AA947C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4FA38E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6F5784D">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4AFA3B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F43645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888BB3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739199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477BFD0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决算数</w:t>
            </w:r>
          </w:p>
        </w:tc>
      </w:tr>
      <w:tr w14:paraId="570F5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79DD867">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ECF0AFE">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工资福利支出</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79A54F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9854817.33</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E28E912">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5B44A15">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商品和服务支出</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867F6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371515.43</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DE51D4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4BAF66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50DB286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290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30EB51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CF62E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基本工资</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5558564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1894189.38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6D8E0E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2AC59E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办公费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77E9C6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155952.20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5906B43">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D292695">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资本性支出</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2086CD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7979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F08855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100078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津贴补贴</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58DA13B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4820240.49</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FA6B8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3357B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印刷费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A9E233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43B87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5F50FF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56D4E79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5F71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A65677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69EDA5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奖金</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0D11D21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F66FA0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39177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手续费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79F8202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200.00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3A5929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E94D9C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186447E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6E8B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E9BE86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E23DA6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8480E8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3D4C4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1ACFC9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76267C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7119.00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F52D4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8EB18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29A9EC7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29392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836911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6C8DE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绩效工资</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40068EA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0B7ABD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156A04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电费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E2E768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CA909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5C00D1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2DD1B62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3955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9DD2B2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043E78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0BFB18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482611.20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42DBC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A216C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邮电费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58AF02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764.83</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2E4C4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0A124D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大型修缮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0E91B12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35982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1F23CC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711B14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0F5323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241305.60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5B175A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6BAF57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取暖费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559BFF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F68AC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92C25F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67445E7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5242A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35ABB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DC2E97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7C86CB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301632.00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6B36DA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54596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5EBED88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972A9B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CD0EBC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物资储备</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354A9D6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3C93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CC1DC5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52AFE5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41621E8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77398D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44441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差旅费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87D7F0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3495.00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8C2A3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924CCC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土地补偿</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2796500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77975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E7571E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E4F2EA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0B055DA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21258.66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6C89C0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732DE8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5A0A53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878A5B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947A29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安置补助</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60F6713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5E3C0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B1AB6A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DC9B20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A59698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2093580.00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85FBC6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C17171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维修(护)费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7B24AF1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2500.00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FB8956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91FA2F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3A3CEA9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66DB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0E85C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A817B4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医疗费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44B4483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C10DC0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E011F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租赁费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9CE366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6B7F47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E90CD9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拆迁补偿</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6570886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291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260E74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899237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58A714A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415C6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6DFF79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会议费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64BB4A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9EB328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23ACFC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6679E9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837F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EA6281D">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DA464E">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对个人和家庭的补助</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A7AACE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E59EC0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491D5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培训费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88CEA9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3940.00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9129CA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3E7F7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7E6AFB6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7C04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D476CD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5523FC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离休费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273F06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B278F4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73BF0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36D43B6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382A20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DB5C9D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70CCE61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4C990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4A6417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7C29B3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退休费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42B4A4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10825F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319D81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117FE8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E4605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B3AD4F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0A20024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1511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C3B5F5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D61FF2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退职（役）费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A66F5A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383B26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72D329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98855A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46EA3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D81C38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371D0F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7E3D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A6AFA6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5F8380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抚恤金</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76C8214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4167C7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3BEE3E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569389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C83DF8">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8A62846">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对企业补助</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577D0C5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62AD7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A70387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2BE0B0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生活补助</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0187BB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681ED2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8E5FFD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劳务费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27FCDA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4D4CAE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DEA73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FDB602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476F7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7DC4DE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F00CF2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救济费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4B5A1F7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4F6C20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2378BF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7A9E88B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D2902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BC870A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0AB4658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2A2E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8DE1A6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18420B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4CC50FB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961E52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FB2F14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工会经费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021ECE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187991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E8757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费用补贴</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6D2F6E8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8EB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8DE40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505584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BA5871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DB28DE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A1068C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福利费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6E34252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E09A21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637D7E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利息补贴</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7D3DE5A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59A4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59D865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295BA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014C9D1">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98E393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3E0EBA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0D95D419">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5708AF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EAB6B66">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243CFF0B">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02F5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961840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106D9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94EF2D5">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CFC064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98252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A832E3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135570.00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8B1C4A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D0F141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7DCF4A6F">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20155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EC5025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77F7E7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DBA58B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1DF01C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9BA936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2093F8E4">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19907D9">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5610F6A">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其他支出</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76E5661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25629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E62531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70EE70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BCC4CD2">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BB7BF4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881583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0A2A33F6">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61974.40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404635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DAC9C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E1D028D">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5132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96029E5">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8CB0D49">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5B14C15">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nil"/>
              <w:right w:val="single" w:color="000000" w:sz="4" w:space="0"/>
            </w:tcBorders>
            <w:noWrap/>
            <w:vAlign w:val="center"/>
          </w:tcPr>
          <w:p w14:paraId="59BE24FA">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307</w:t>
            </w:r>
          </w:p>
        </w:tc>
        <w:tc>
          <w:tcPr>
            <w:tcW w:w="2444" w:type="dxa"/>
            <w:tcBorders>
              <w:top w:val="single" w:color="000000" w:sz="4" w:space="0"/>
              <w:left w:val="single" w:color="000000" w:sz="4" w:space="0"/>
              <w:bottom w:val="nil"/>
              <w:right w:val="single" w:color="000000" w:sz="4" w:space="0"/>
            </w:tcBorders>
            <w:noWrap/>
            <w:vAlign w:val="center"/>
          </w:tcPr>
          <w:p w14:paraId="1FCD1AF5">
            <w:pPr>
              <w:keepNext w:val="0"/>
              <w:keepLines w:val="0"/>
              <w:widowControl/>
              <w:suppressLineNumbers w:val="0"/>
              <w:adjustRightInd w:val="0"/>
              <w:snapToGrid w:val="0"/>
              <w:spacing w:line="360" w:lineRule="atLeast"/>
              <w:jc w:val="left"/>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债务利息及费用支出</w:t>
            </w:r>
          </w:p>
        </w:tc>
        <w:tc>
          <w:tcPr>
            <w:tcW w:w="2231" w:type="dxa"/>
            <w:tcBorders>
              <w:top w:val="single" w:color="000000" w:sz="4" w:space="0"/>
              <w:left w:val="single" w:color="000000" w:sz="4" w:space="0"/>
              <w:bottom w:val="single" w:color="000000" w:sz="4" w:space="0"/>
              <w:right w:val="single" w:color="000000" w:sz="4" w:space="0"/>
            </w:tcBorders>
            <w:noWrap w:val="0"/>
            <w:vAlign w:val="center"/>
          </w:tcPr>
          <w:p w14:paraId="1524F358">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nil"/>
              <w:right w:val="single" w:color="000000" w:sz="4" w:space="0"/>
            </w:tcBorders>
            <w:noWrap/>
            <w:vAlign w:val="center"/>
          </w:tcPr>
          <w:p w14:paraId="00ED650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39908</w:t>
            </w:r>
          </w:p>
        </w:tc>
        <w:tc>
          <w:tcPr>
            <w:tcW w:w="2401" w:type="dxa"/>
            <w:tcBorders>
              <w:top w:val="single" w:color="000000" w:sz="4" w:space="0"/>
              <w:left w:val="single" w:color="000000" w:sz="4" w:space="0"/>
              <w:bottom w:val="nil"/>
              <w:right w:val="single" w:color="000000" w:sz="4" w:space="0"/>
            </w:tcBorders>
            <w:noWrap/>
            <w:vAlign w:val="center"/>
          </w:tcPr>
          <w:p w14:paraId="7B4AC45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481E372E">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30AE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8B8C5F8">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475" w:type="dxa"/>
            <w:tcBorders>
              <w:top w:val="single" w:color="000000" w:sz="4" w:space="0"/>
              <w:left w:val="single" w:color="000000" w:sz="4" w:space="0"/>
              <w:bottom w:val="nil"/>
              <w:right w:val="single" w:color="000000" w:sz="4" w:space="0"/>
            </w:tcBorders>
            <w:noWrap/>
            <w:vAlign w:val="center"/>
          </w:tcPr>
          <w:p w14:paraId="0FAAD08B">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231" w:type="dxa"/>
            <w:tcBorders>
              <w:top w:val="single" w:color="000000" w:sz="4" w:space="0"/>
              <w:left w:val="single" w:color="000000" w:sz="4" w:space="0"/>
              <w:bottom w:val="nil"/>
              <w:right w:val="single" w:color="000000" w:sz="4" w:space="0"/>
            </w:tcBorders>
            <w:noWrap/>
            <w:vAlign w:val="center"/>
          </w:tcPr>
          <w:p w14:paraId="14172DB4">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nil"/>
              <w:right w:val="single" w:color="000000" w:sz="4" w:space="0"/>
            </w:tcBorders>
            <w:noWrap/>
            <w:vAlign w:val="center"/>
          </w:tcPr>
          <w:p w14:paraId="7A68BA7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30701</w:t>
            </w:r>
          </w:p>
        </w:tc>
        <w:tc>
          <w:tcPr>
            <w:tcW w:w="2444" w:type="dxa"/>
            <w:tcBorders>
              <w:top w:val="single" w:color="000000" w:sz="4" w:space="0"/>
              <w:left w:val="single" w:color="000000" w:sz="4" w:space="0"/>
              <w:bottom w:val="nil"/>
              <w:right w:val="single" w:color="000000" w:sz="4" w:space="0"/>
            </w:tcBorders>
            <w:noWrap/>
            <w:vAlign w:val="center"/>
          </w:tcPr>
          <w:p w14:paraId="4EE21D3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国内债务付息</w:t>
            </w:r>
          </w:p>
        </w:tc>
        <w:tc>
          <w:tcPr>
            <w:tcW w:w="2231" w:type="dxa"/>
            <w:tcBorders>
              <w:top w:val="single" w:color="000000" w:sz="4" w:space="0"/>
              <w:left w:val="single" w:color="000000" w:sz="4" w:space="0"/>
              <w:bottom w:val="nil"/>
              <w:right w:val="single" w:color="000000" w:sz="4" w:space="0"/>
            </w:tcBorders>
            <w:noWrap w:val="0"/>
            <w:vAlign w:val="center"/>
          </w:tcPr>
          <w:p w14:paraId="4EDB764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nil"/>
              <w:right w:val="single" w:color="000000" w:sz="4" w:space="0"/>
            </w:tcBorders>
            <w:noWrap/>
            <w:vAlign w:val="center"/>
          </w:tcPr>
          <w:p w14:paraId="7D86707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39909</w:t>
            </w:r>
          </w:p>
        </w:tc>
        <w:tc>
          <w:tcPr>
            <w:tcW w:w="2401" w:type="dxa"/>
            <w:tcBorders>
              <w:top w:val="single" w:color="000000" w:sz="4" w:space="0"/>
              <w:left w:val="single" w:color="000000" w:sz="4" w:space="0"/>
              <w:bottom w:val="nil"/>
              <w:right w:val="single" w:color="000000" w:sz="4" w:space="0"/>
            </w:tcBorders>
            <w:noWrap/>
            <w:vAlign w:val="center"/>
          </w:tcPr>
          <w:p w14:paraId="2F71041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经常性赠与</w:t>
            </w:r>
          </w:p>
        </w:tc>
        <w:tc>
          <w:tcPr>
            <w:tcW w:w="2232" w:type="dxa"/>
            <w:tcBorders>
              <w:top w:val="single" w:color="000000" w:sz="4" w:space="0"/>
              <w:left w:val="single" w:color="000000" w:sz="4" w:space="0"/>
              <w:bottom w:val="nil"/>
              <w:right w:val="single" w:color="000000" w:sz="4" w:space="0"/>
            </w:tcBorders>
            <w:noWrap w:val="0"/>
            <w:vAlign w:val="center"/>
          </w:tcPr>
          <w:p w14:paraId="22CAAAA3">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66531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11566E5">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475" w:type="dxa"/>
            <w:tcBorders>
              <w:top w:val="single" w:color="000000" w:sz="4" w:space="0"/>
              <w:left w:val="single" w:color="000000" w:sz="4" w:space="0"/>
              <w:bottom w:val="nil"/>
              <w:right w:val="single" w:color="000000" w:sz="4" w:space="0"/>
            </w:tcBorders>
            <w:noWrap/>
            <w:vAlign w:val="center"/>
          </w:tcPr>
          <w:p w14:paraId="1F491C2F">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231" w:type="dxa"/>
            <w:tcBorders>
              <w:top w:val="single" w:color="000000" w:sz="4" w:space="0"/>
              <w:left w:val="single" w:color="000000" w:sz="4" w:space="0"/>
              <w:bottom w:val="nil"/>
              <w:right w:val="single" w:color="000000" w:sz="4" w:space="0"/>
            </w:tcBorders>
            <w:noWrap/>
            <w:vAlign w:val="center"/>
          </w:tcPr>
          <w:p w14:paraId="064253C1">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nil"/>
              <w:right w:val="single" w:color="000000" w:sz="4" w:space="0"/>
            </w:tcBorders>
            <w:noWrap/>
            <w:vAlign w:val="center"/>
          </w:tcPr>
          <w:p w14:paraId="2FECE654">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30702</w:t>
            </w:r>
          </w:p>
        </w:tc>
        <w:tc>
          <w:tcPr>
            <w:tcW w:w="2444" w:type="dxa"/>
            <w:tcBorders>
              <w:top w:val="single" w:color="000000" w:sz="4" w:space="0"/>
              <w:left w:val="single" w:color="000000" w:sz="4" w:space="0"/>
              <w:bottom w:val="nil"/>
              <w:right w:val="single" w:color="000000" w:sz="4" w:space="0"/>
            </w:tcBorders>
            <w:noWrap/>
            <w:vAlign w:val="center"/>
          </w:tcPr>
          <w:p w14:paraId="4E371B6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国外债务付息</w:t>
            </w:r>
          </w:p>
        </w:tc>
        <w:tc>
          <w:tcPr>
            <w:tcW w:w="2231" w:type="dxa"/>
            <w:tcBorders>
              <w:top w:val="single" w:color="000000" w:sz="4" w:space="0"/>
              <w:left w:val="single" w:color="000000" w:sz="4" w:space="0"/>
              <w:bottom w:val="nil"/>
              <w:right w:val="single" w:color="000000" w:sz="4" w:space="0"/>
            </w:tcBorders>
            <w:noWrap w:val="0"/>
            <w:vAlign w:val="center"/>
          </w:tcPr>
          <w:p w14:paraId="4A4BF6A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nil"/>
              <w:right w:val="single" w:color="000000" w:sz="4" w:space="0"/>
            </w:tcBorders>
            <w:noWrap/>
            <w:vAlign w:val="center"/>
          </w:tcPr>
          <w:p w14:paraId="76E9813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39910</w:t>
            </w:r>
          </w:p>
        </w:tc>
        <w:tc>
          <w:tcPr>
            <w:tcW w:w="2401" w:type="dxa"/>
            <w:tcBorders>
              <w:top w:val="single" w:color="000000" w:sz="4" w:space="0"/>
              <w:left w:val="single" w:color="000000" w:sz="4" w:space="0"/>
              <w:bottom w:val="nil"/>
              <w:right w:val="single" w:color="000000" w:sz="4" w:space="0"/>
            </w:tcBorders>
            <w:noWrap/>
            <w:vAlign w:val="center"/>
          </w:tcPr>
          <w:p w14:paraId="5F59F77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资本性赠与</w:t>
            </w:r>
          </w:p>
        </w:tc>
        <w:tc>
          <w:tcPr>
            <w:tcW w:w="2232" w:type="dxa"/>
            <w:tcBorders>
              <w:top w:val="single" w:color="000000" w:sz="4" w:space="0"/>
              <w:left w:val="single" w:color="000000" w:sz="4" w:space="0"/>
              <w:bottom w:val="nil"/>
              <w:right w:val="single" w:color="000000" w:sz="4" w:space="0"/>
            </w:tcBorders>
            <w:noWrap w:val="0"/>
            <w:vAlign w:val="center"/>
          </w:tcPr>
          <w:p w14:paraId="2F0F06FA">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799F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2EB4ED44">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p>
        </w:tc>
        <w:tc>
          <w:tcPr>
            <w:tcW w:w="2475" w:type="dxa"/>
            <w:tcBorders>
              <w:top w:val="single" w:color="000000" w:sz="4" w:space="0"/>
              <w:left w:val="single" w:color="000000" w:sz="4" w:space="0"/>
              <w:bottom w:val="nil"/>
              <w:right w:val="single" w:color="000000" w:sz="4" w:space="0"/>
            </w:tcBorders>
            <w:noWrap/>
            <w:vAlign w:val="center"/>
          </w:tcPr>
          <w:p w14:paraId="3535E78A">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231" w:type="dxa"/>
            <w:tcBorders>
              <w:top w:val="single" w:color="000000" w:sz="4" w:space="0"/>
              <w:left w:val="single" w:color="000000" w:sz="4" w:space="0"/>
              <w:bottom w:val="nil"/>
              <w:right w:val="single" w:color="000000" w:sz="4" w:space="0"/>
            </w:tcBorders>
            <w:noWrap/>
            <w:vAlign w:val="center"/>
          </w:tcPr>
          <w:p w14:paraId="4AE680D5">
            <w:pPr>
              <w:widowControl w:val="0"/>
              <w:adjustRightInd w:val="0"/>
              <w:snapToGrid w:val="0"/>
              <w:spacing w:line="360" w:lineRule="atLeast"/>
              <w:jc w:val="right"/>
              <w:textAlignment w:val="baseline"/>
              <w:rPr>
                <w:rFonts w:ascii="Times New Roman" w:hAnsi="Times New Roman" w:eastAsia="宋体" w:cs="Times New Roman"/>
                <w:i w:val="0"/>
                <w:iCs w:val="0"/>
                <w:color w:val="000000"/>
                <w:kern w:val="0"/>
                <w:sz w:val="20"/>
                <w:szCs w:val="20"/>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6D42E7D">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ED244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国内债务发行费用</w:t>
            </w:r>
          </w:p>
        </w:tc>
        <w:tc>
          <w:tcPr>
            <w:tcW w:w="2231" w:type="dxa"/>
            <w:tcBorders>
              <w:top w:val="single" w:color="000000" w:sz="4" w:space="0"/>
              <w:left w:val="single" w:color="000000" w:sz="4" w:space="0"/>
              <w:bottom w:val="nil"/>
              <w:right w:val="single" w:color="000000" w:sz="4" w:space="0"/>
            </w:tcBorders>
            <w:noWrap w:val="0"/>
            <w:vAlign w:val="center"/>
          </w:tcPr>
          <w:p w14:paraId="6DECFE6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c>
          <w:tcPr>
            <w:tcW w:w="797" w:type="dxa"/>
            <w:tcBorders>
              <w:top w:val="single" w:color="000000" w:sz="4" w:space="0"/>
              <w:left w:val="single" w:color="000000" w:sz="4" w:space="0"/>
              <w:bottom w:val="nil"/>
              <w:right w:val="single" w:color="000000" w:sz="4" w:space="0"/>
            </w:tcBorders>
            <w:noWrap/>
            <w:vAlign w:val="center"/>
          </w:tcPr>
          <w:p w14:paraId="0F9D351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39999</w:t>
            </w:r>
          </w:p>
        </w:tc>
        <w:tc>
          <w:tcPr>
            <w:tcW w:w="2401" w:type="dxa"/>
            <w:tcBorders>
              <w:top w:val="single" w:color="000000" w:sz="4" w:space="0"/>
              <w:left w:val="single" w:color="000000" w:sz="4" w:space="0"/>
              <w:bottom w:val="nil"/>
              <w:right w:val="single" w:color="000000" w:sz="4" w:space="0"/>
            </w:tcBorders>
            <w:noWrap/>
            <w:vAlign w:val="center"/>
          </w:tcPr>
          <w:p w14:paraId="5F993ECE">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  其他支出</w:t>
            </w:r>
          </w:p>
        </w:tc>
        <w:tc>
          <w:tcPr>
            <w:tcW w:w="2232" w:type="dxa"/>
            <w:tcBorders>
              <w:top w:val="single" w:color="000000" w:sz="4" w:space="0"/>
              <w:left w:val="single" w:color="000000" w:sz="4" w:space="0"/>
              <w:bottom w:val="nil"/>
              <w:right w:val="single" w:color="000000" w:sz="4" w:space="0"/>
            </w:tcBorders>
            <w:noWrap w:val="0"/>
            <w:vAlign w:val="center"/>
          </w:tcPr>
          <w:p w14:paraId="1B6D56A0">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i w:val="0"/>
                <w:iCs w:val="0"/>
                <w:color w:val="000000"/>
                <w:kern w:val="0"/>
                <w:sz w:val="20"/>
                <w:szCs w:val="20"/>
                <w:u w:val="none"/>
                <w:lang w:val="en-US" w:eastAsia="zh-CN" w:bidi="ar-SA"/>
              </w:rPr>
            </w:pPr>
          </w:p>
        </w:tc>
      </w:tr>
      <w:tr w14:paraId="16BC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6C19071E">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77900DC">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b/>
                <w:bCs/>
                <w:i w:val="0"/>
                <w:iCs w:val="0"/>
                <w:color w:val="000000"/>
                <w:sz w:val="20"/>
                <w:szCs w:val="20"/>
                <w:u w:val="none"/>
                <w:lang w:val="en-US" w:eastAsia="zh-CN" w:bidi="ar-SA"/>
              </w:rPr>
            </w:pPr>
            <w:r>
              <w:rPr>
                <w:rFonts w:ascii="Times New Roman" w:hAnsi="Times New Roman" w:eastAsia="宋体" w:cs="Times New Roman"/>
                <w:b/>
                <w:bCs/>
                <w:i w:val="0"/>
                <w:iCs w:val="0"/>
                <w:color w:val="000000"/>
                <w:kern w:val="0"/>
                <w:sz w:val="20"/>
                <w:szCs w:val="20"/>
                <w:u w:val="none"/>
                <w:lang w:val="en-US" w:eastAsia="zh-CN" w:bidi="ar-SA"/>
              </w:rPr>
              <w:t>9854817.33</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7269BA16">
            <w:pPr>
              <w:keepNext w:val="0"/>
              <w:keepLines w:val="0"/>
              <w:widowControl/>
              <w:suppressLineNumbers w:val="0"/>
              <w:adjustRightInd w:val="0"/>
              <w:snapToGrid w:val="0"/>
              <w:spacing w:line="360" w:lineRule="atLeast"/>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SA"/>
              </w:rPr>
              <w:t>公用经费合计</w:t>
            </w:r>
          </w:p>
        </w:tc>
        <w:tc>
          <w:tcPr>
            <w:tcW w:w="2232" w:type="dxa"/>
            <w:tcBorders>
              <w:top w:val="single" w:color="000000" w:sz="4" w:space="0"/>
              <w:left w:val="single" w:color="000000" w:sz="4" w:space="0"/>
              <w:bottom w:val="single" w:color="000000" w:sz="4" w:space="0"/>
              <w:right w:val="single" w:color="000000" w:sz="4" w:space="0"/>
            </w:tcBorders>
            <w:noWrap w:val="0"/>
            <w:vAlign w:val="center"/>
          </w:tcPr>
          <w:p w14:paraId="010AF7B7">
            <w:pPr>
              <w:keepNext w:val="0"/>
              <w:keepLines w:val="0"/>
              <w:widowControl/>
              <w:suppressLineNumbers w:val="0"/>
              <w:adjustRightInd w:val="0"/>
              <w:snapToGrid w:val="0"/>
              <w:spacing w:line="360" w:lineRule="atLeast"/>
              <w:jc w:val="right"/>
              <w:textAlignment w:val="center"/>
              <w:rPr>
                <w:rFonts w:ascii="Times New Roman" w:hAnsi="Times New Roman" w:eastAsia="宋体" w:cs="Times New Roman"/>
                <w:b/>
                <w:bCs/>
                <w:i w:val="0"/>
                <w:iCs w:val="0"/>
                <w:color w:val="000000"/>
                <w:sz w:val="20"/>
                <w:szCs w:val="20"/>
                <w:u w:val="none"/>
                <w:lang w:val="en-US" w:eastAsia="zh-CN" w:bidi="ar-SA"/>
              </w:rPr>
            </w:pPr>
            <w:r>
              <w:rPr>
                <w:rFonts w:ascii="Times New Roman" w:hAnsi="Times New Roman" w:eastAsia="宋体" w:cs="Times New Roman"/>
                <w:b/>
                <w:bCs/>
                <w:i w:val="0"/>
                <w:iCs w:val="0"/>
                <w:color w:val="000000"/>
                <w:kern w:val="0"/>
                <w:sz w:val="20"/>
                <w:szCs w:val="20"/>
                <w:u w:val="none"/>
                <w:lang w:val="en-US" w:eastAsia="zh-CN" w:bidi="ar-SA"/>
              </w:rPr>
              <w:t>371515.43</w:t>
            </w:r>
          </w:p>
        </w:tc>
      </w:tr>
      <w:tr w14:paraId="2DD84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5BD8577B">
            <w:pPr>
              <w:pStyle w:val="26"/>
              <w:keepNext w:val="0"/>
              <w:keepLines w:val="0"/>
              <w:widowControl/>
              <w:suppressLineNumbers w:val="0"/>
              <w:adjustRightInd w:val="0"/>
              <w:snapToGrid w:val="0"/>
              <w:spacing w:before="60" w:beforeAutospacing="0" w:after="60" w:afterAutospacing="0" w:line="360" w:lineRule="atLeast"/>
              <w:ind w:left="0" w:leftChars="0" w:right="0" w:rightChars="0"/>
              <w:jc w:val="left"/>
              <w:textAlignment w:val="baseline"/>
              <w:rPr>
                <w:rFonts w:hint="eastAsia" w:ascii="宋体" w:hAnsi="宋体" w:eastAsia="宋体" w:cs="宋体"/>
                <w:b/>
                <w:bCs/>
                <w:i w:val="0"/>
                <w:iCs w:val="0"/>
                <w:color w:val="000000"/>
                <w:kern w:val="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注：本表反映本年度一般公共预算财政拨款支出情况。</w:t>
            </w:r>
          </w:p>
        </w:tc>
      </w:tr>
    </w:tbl>
    <w:p w14:paraId="44F785CC">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10" w:name="_Toc2699"/>
      <w:r>
        <w:rPr>
          <w:rFonts w:hint="eastAsia" w:ascii="黑体" w:hAnsi="黑体" w:eastAsia="黑体"/>
          <w:b w:val="0"/>
          <w:bCs w:val="0"/>
          <w:sz w:val="30"/>
          <w:szCs w:val="30"/>
          <w:lang w:val="en-US" w:eastAsia="zh-CN"/>
        </w:rPr>
        <w:t>八、《政府性基金预算财政拨款收入支出决算表》</w:t>
      </w:r>
      <w:bookmarkEnd w:id="10"/>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381C4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3307632B">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071" w:type="dxa"/>
            <w:tcBorders>
              <w:top w:val="nil"/>
              <w:left w:val="nil"/>
              <w:bottom w:val="nil"/>
              <w:right w:val="nil"/>
            </w:tcBorders>
            <w:shd w:val="clear" w:color="auto" w:fill="FFFFFF"/>
            <w:noWrap w:val="0"/>
            <w:vAlign w:val="center"/>
          </w:tcPr>
          <w:p w14:paraId="3C1154A3">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071" w:type="dxa"/>
            <w:tcBorders>
              <w:top w:val="nil"/>
              <w:left w:val="nil"/>
              <w:bottom w:val="nil"/>
              <w:right w:val="nil"/>
            </w:tcBorders>
            <w:shd w:val="clear" w:color="auto" w:fill="FFFFFF"/>
            <w:noWrap w:val="0"/>
            <w:vAlign w:val="center"/>
          </w:tcPr>
          <w:p w14:paraId="75FC6F5A">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071" w:type="dxa"/>
            <w:tcBorders>
              <w:top w:val="nil"/>
              <w:left w:val="nil"/>
              <w:bottom w:val="nil"/>
              <w:right w:val="nil"/>
            </w:tcBorders>
            <w:shd w:val="clear" w:color="auto" w:fill="FFFFFF"/>
            <w:noWrap/>
            <w:vAlign w:val="center"/>
          </w:tcPr>
          <w:p w14:paraId="50982C03">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4880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noWrap w:val="0"/>
            <w:vAlign w:val="center"/>
          </w:tcPr>
          <w:p w14:paraId="06172B2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CDBF0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C0AB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本年收入</w:t>
            </w:r>
          </w:p>
        </w:tc>
        <w:tc>
          <w:tcPr>
            <w:tcW w:w="6213" w:type="dxa"/>
            <w:gridSpan w:val="3"/>
            <w:tcBorders>
              <w:top w:val="single" w:color="000000" w:sz="4" w:space="0"/>
              <w:left w:val="single" w:color="000000" w:sz="4" w:space="0"/>
              <w:bottom w:val="single" w:color="000000" w:sz="4" w:space="0"/>
              <w:right w:val="single" w:color="000000" w:sz="4" w:space="0"/>
            </w:tcBorders>
            <w:noWrap w:val="0"/>
            <w:vAlign w:val="center"/>
          </w:tcPr>
          <w:p w14:paraId="631C7994">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3C9123">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年末结转和结余</w:t>
            </w:r>
          </w:p>
        </w:tc>
      </w:tr>
      <w:tr w14:paraId="4049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noWrap w:val="0"/>
            <w:vAlign w:val="center"/>
          </w:tcPr>
          <w:p w14:paraId="5133896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DCAA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4477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81F3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C73A58">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小计</w:t>
            </w:r>
          </w:p>
        </w:tc>
        <w:tc>
          <w:tcPr>
            <w:tcW w:w="2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75E6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11290A">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35930">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3028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1190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8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58D4A">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CAE7A">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7238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D173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5FB7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C1C10">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715BD">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63D46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F57D2">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8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00E0C">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0E0C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9E75B">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8C565B">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E7E5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A0FF1">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A1E7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0AEB0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noWrap w:val="0"/>
            <w:vAlign w:val="center"/>
          </w:tcPr>
          <w:p w14:paraId="4E84A4F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EEB83C5">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noWrap w:val="0"/>
            <w:vAlign w:val="center"/>
          </w:tcPr>
          <w:p w14:paraId="2F7A3960">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noWrap w:val="0"/>
            <w:vAlign w:val="center"/>
          </w:tcPr>
          <w:p w14:paraId="35A06822">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noWrap w:val="0"/>
            <w:vAlign w:val="center"/>
          </w:tcPr>
          <w:p w14:paraId="2DB36A4A">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noWrap w:val="0"/>
            <w:vAlign w:val="center"/>
          </w:tcPr>
          <w:p w14:paraId="2CDFCADE">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noWrap w:val="0"/>
            <w:vAlign w:val="center"/>
          </w:tcPr>
          <w:p w14:paraId="248176B7">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F28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6404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1011A">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资源勘探工业信息等支出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CD88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A8A76">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4670F">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7394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E067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1E78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41EA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1F1B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B759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超长期特别国债安排的支出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D918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B6CC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C65B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0C21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504C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BEEB6">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49D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E643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2159802</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700E7">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制造业</w:t>
            </w: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C096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266C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B55D2">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C86C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A7916">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B3D8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4AC7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noWrap w:val="0"/>
            <w:vAlign w:val="center"/>
          </w:tcPr>
          <w:p w14:paraId="5CF97298">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注：本表反映本年度政府性基金预算财政拨款收入、支出及结转和结余情况。</w:t>
            </w:r>
          </w:p>
        </w:tc>
      </w:tr>
    </w:tbl>
    <w:p w14:paraId="1E7911A8">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11" w:name="_Toc11009"/>
      <w:r>
        <w:rPr>
          <w:rFonts w:hint="eastAsia" w:ascii="黑体" w:hAnsi="黑体" w:eastAsia="黑体"/>
          <w:b w:val="0"/>
          <w:bCs w:val="0"/>
          <w:sz w:val="30"/>
          <w:szCs w:val="30"/>
          <w:lang w:val="en-US" w:eastAsia="zh-CN"/>
        </w:rPr>
        <w:t>九、《国有资本经营预算财政拨款收入支出决算表》</w:t>
      </w:r>
      <w:bookmarkEnd w:id="11"/>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74359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3479487E">
            <w:pPr>
              <w:widowControl w:val="0"/>
              <w:adjustRightInd w:val="0"/>
              <w:snapToGrid w:val="0"/>
              <w:spacing w:line="360" w:lineRule="atLeast"/>
              <w:jc w:val="lef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1761" w:type="dxa"/>
            <w:tcBorders>
              <w:top w:val="nil"/>
              <w:left w:val="nil"/>
              <w:bottom w:val="nil"/>
              <w:right w:val="nil"/>
            </w:tcBorders>
            <w:noWrap w:val="0"/>
            <w:vAlign w:val="center"/>
          </w:tcPr>
          <w:p w14:paraId="2861104F">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1761" w:type="dxa"/>
            <w:tcBorders>
              <w:top w:val="nil"/>
              <w:left w:val="nil"/>
              <w:bottom w:val="nil"/>
              <w:right w:val="nil"/>
            </w:tcBorders>
            <w:noWrap w:val="0"/>
            <w:vAlign w:val="center"/>
          </w:tcPr>
          <w:p w14:paraId="6E88080F">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1761" w:type="dxa"/>
            <w:tcBorders>
              <w:top w:val="nil"/>
              <w:left w:val="nil"/>
              <w:bottom w:val="nil"/>
              <w:right w:val="nil"/>
            </w:tcBorders>
            <w:noWrap w:val="0"/>
            <w:vAlign w:val="center"/>
          </w:tcPr>
          <w:p w14:paraId="6D536FBB">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1761" w:type="dxa"/>
            <w:tcBorders>
              <w:top w:val="nil"/>
              <w:left w:val="nil"/>
              <w:bottom w:val="nil"/>
              <w:right w:val="nil"/>
            </w:tcBorders>
            <w:noWrap/>
            <w:vAlign w:val="center"/>
          </w:tcPr>
          <w:p w14:paraId="7DFC30E0">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242CD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noWrap w:val="0"/>
            <w:vAlign w:val="center"/>
          </w:tcPr>
          <w:p w14:paraId="234B320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项 </w:t>
            </w:r>
            <w:r>
              <w:rPr>
                <w:rStyle w:val="27"/>
                <w:rFonts w:hint="eastAsia" w:ascii="宋体" w:hAnsi="宋体" w:eastAsia="宋体" w:cs="宋体"/>
                <w:color w:val="000000"/>
                <w:sz w:val="20"/>
                <w:szCs w:val="20"/>
                <w:u w:val="none"/>
                <w:lang w:val="en-US" w:eastAsia="zh-CN" w:bidi="ar-SA"/>
              </w:rPr>
              <w:t xml:space="preserve">   </w:t>
            </w:r>
            <w:r>
              <w:rPr>
                <w:rFonts w:hint="eastAsia" w:ascii="宋体" w:hAnsi="宋体" w:eastAsia="宋体" w:cs="宋体"/>
                <w:i w:val="0"/>
                <w:iCs w:val="0"/>
                <w:color w:val="000000"/>
                <w:kern w:val="0"/>
                <w:sz w:val="20"/>
                <w:szCs w:val="20"/>
                <w:u w:val="none"/>
                <w:lang w:val="en-US" w:eastAsia="zh-CN" w:bidi="ar-SA"/>
              </w:rPr>
              <w:t>目</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15C4B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A0523F">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本年收入</w:t>
            </w:r>
          </w:p>
        </w:tc>
        <w:tc>
          <w:tcPr>
            <w:tcW w:w="5283" w:type="dxa"/>
            <w:gridSpan w:val="3"/>
            <w:tcBorders>
              <w:top w:val="single" w:color="000000" w:sz="4" w:space="0"/>
              <w:left w:val="single" w:color="000000" w:sz="4" w:space="0"/>
              <w:bottom w:val="single" w:color="000000" w:sz="4" w:space="0"/>
              <w:right w:val="single" w:color="000000" w:sz="4" w:space="0"/>
            </w:tcBorders>
            <w:noWrap w:val="0"/>
            <w:vAlign w:val="center"/>
          </w:tcPr>
          <w:p w14:paraId="0B002E5A">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942043">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年末结转和结余</w:t>
            </w:r>
          </w:p>
        </w:tc>
      </w:tr>
      <w:tr w14:paraId="2B896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FE330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A66D5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82AB5">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4EDF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4748B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988ECD">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263BE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F7A5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643EB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A8E56">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46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D29C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DD1F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B025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53F7D">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264C5">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A6C16">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2124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58C4C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44511">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46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51B63">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2BA3C">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21925">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BBFEC">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E72D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CECA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7743C">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48031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noWrap w:val="0"/>
            <w:vAlign w:val="center"/>
          </w:tcPr>
          <w:p w14:paraId="4B08AB54">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EAFE07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36CA1DA">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63A6C00">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62942B6">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936537B">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05F9E4D9">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auto"/>
                <w:sz w:val="20"/>
                <w:szCs w:val="20"/>
                <w:u w:val="none"/>
                <w:lang w:val="en-US" w:eastAsia="zh-CN" w:bidi="ar-SA"/>
              </w:rPr>
            </w:pPr>
          </w:p>
        </w:tc>
      </w:tr>
      <w:tr w14:paraId="1D46E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230D01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p>
        </w:tc>
        <w:tc>
          <w:tcPr>
            <w:tcW w:w="4663" w:type="dxa"/>
            <w:tcBorders>
              <w:top w:val="single" w:color="000000" w:sz="4" w:space="0"/>
              <w:left w:val="single" w:color="000000" w:sz="4" w:space="0"/>
              <w:bottom w:val="single" w:color="000000" w:sz="4" w:space="0"/>
              <w:right w:val="single" w:color="000000" w:sz="4" w:space="0"/>
            </w:tcBorders>
            <w:noWrap w:val="0"/>
            <w:vAlign w:val="center"/>
          </w:tcPr>
          <w:p w14:paraId="14D90662">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099EA95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697888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EA325E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BB9C5D6">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9E2F1B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A261F1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6CB6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noWrap w:val="0"/>
            <w:vAlign w:val="center"/>
          </w:tcPr>
          <w:p w14:paraId="461D1949">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注：本表反映本年度国有资本</w:t>
            </w:r>
            <w:r>
              <w:rPr>
                <w:rFonts w:hint="eastAsia" w:ascii="宋体" w:hAnsi="宋体" w:eastAsia="宋体" w:cs="宋体"/>
                <w:b w:val="0"/>
                <w:bCs w:val="0"/>
                <w:i w:val="0"/>
                <w:iCs w:val="0"/>
                <w:color w:val="000000"/>
                <w:kern w:val="0"/>
                <w:sz w:val="20"/>
                <w:szCs w:val="20"/>
                <w:u w:val="none"/>
                <w:lang w:val="en-US" w:eastAsia="zh-CN" w:bidi="ar-SA"/>
              </w:rPr>
              <w:t>经营预算财政拨款收入、支</w:t>
            </w:r>
            <w:r>
              <w:rPr>
                <w:rFonts w:hint="eastAsia" w:ascii="宋体" w:hAnsi="宋体" w:eastAsia="宋体" w:cs="宋体"/>
                <w:i w:val="0"/>
                <w:iCs w:val="0"/>
                <w:color w:val="000000"/>
                <w:kern w:val="0"/>
                <w:sz w:val="20"/>
                <w:szCs w:val="20"/>
                <w:u w:val="none"/>
                <w:lang w:val="en-US" w:eastAsia="zh-CN" w:bidi="ar-SA"/>
              </w:rPr>
              <w:t>出及结转和结余情况。</w:t>
            </w:r>
          </w:p>
        </w:tc>
      </w:tr>
    </w:tbl>
    <w:p w14:paraId="0B7D554B">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天津经济技术开发区南港工业区产业促进办公室2025年度国有资本经营预算财政拨款收入支出决算表为空表。</w:t>
      </w:r>
    </w:p>
    <w:p w14:paraId="7150012B">
      <w:pPr>
        <w:pStyle w:val="22"/>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clear="none"/>
      </w:r>
      <w:bookmarkStart w:id="12" w:name="_Toc25214"/>
      <w:r>
        <w:rPr>
          <w:rFonts w:hint="eastAsia" w:ascii="黑体" w:hAnsi="黑体" w:eastAsia="黑体"/>
          <w:b w:val="0"/>
          <w:bCs w:val="0"/>
          <w:sz w:val="30"/>
          <w:szCs w:val="30"/>
          <w:lang w:val="en-US" w:eastAsia="zh-CN"/>
        </w:rPr>
        <w:t>十、《财政拨款“三公”经费支出决算表》</w:t>
      </w:r>
      <w:bookmarkEnd w:id="12"/>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0AD73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2A103E51">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299" w:type="dxa"/>
            <w:tcBorders>
              <w:bottom w:val="single" w:color="auto" w:sz="4" w:space="0"/>
              <w:tl2br w:val="nil"/>
              <w:tr2bl w:val="nil"/>
            </w:tcBorders>
            <w:shd w:val="clear" w:color="auto" w:fill="FFFFFF"/>
            <w:noWrap w:val="0"/>
            <w:vAlign w:val="center"/>
          </w:tcPr>
          <w:p w14:paraId="45C70090">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299" w:type="dxa"/>
            <w:tcBorders>
              <w:bottom w:val="single" w:color="auto" w:sz="4" w:space="0"/>
              <w:tl2br w:val="nil"/>
              <w:tr2bl w:val="nil"/>
            </w:tcBorders>
            <w:shd w:val="clear" w:color="auto" w:fill="FFFFFF"/>
            <w:noWrap/>
            <w:vAlign w:val="center"/>
          </w:tcPr>
          <w:p w14:paraId="09A0E977">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2415A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noWrap w:val="0"/>
            <w:vAlign w:val="center"/>
          </w:tcPr>
          <w:p w14:paraId="7C4C527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合计</w:t>
            </w:r>
          </w:p>
        </w:tc>
        <w:tc>
          <w:tcPr>
            <w:tcW w:w="2362" w:type="dxa"/>
            <w:vMerge w:val="restart"/>
            <w:tcBorders>
              <w:top w:val="single" w:color="auto" w:sz="4" w:space="0"/>
              <w:left w:val="single" w:color="auto" w:sz="4" w:space="0"/>
              <w:bottom w:val="single" w:color="auto" w:sz="4" w:space="0"/>
              <w:right w:val="single" w:color="auto" w:sz="4" w:space="0"/>
            </w:tcBorders>
            <w:noWrap w:val="0"/>
            <w:vAlign w:val="center"/>
          </w:tcPr>
          <w:p w14:paraId="5D4329E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因公出国（境）费</w:t>
            </w:r>
          </w:p>
        </w:tc>
        <w:tc>
          <w:tcPr>
            <w:tcW w:w="7087" w:type="dxa"/>
            <w:gridSpan w:val="3"/>
            <w:tcBorders>
              <w:top w:val="single" w:color="auto" w:sz="4" w:space="0"/>
              <w:left w:val="single" w:color="auto" w:sz="4" w:space="0"/>
              <w:bottom w:val="single" w:color="auto" w:sz="4" w:space="0"/>
              <w:right w:val="single" w:color="auto" w:sz="4" w:space="0"/>
            </w:tcBorders>
            <w:noWrap w:val="0"/>
            <w:vAlign w:val="center"/>
          </w:tcPr>
          <w:p w14:paraId="520A4C1E">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noWrap w:val="0"/>
            <w:vAlign w:val="center"/>
          </w:tcPr>
          <w:p w14:paraId="1241502C">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公务接待费</w:t>
            </w:r>
          </w:p>
        </w:tc>
      </w:tr>
      <w:tr w14:paraId="0962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noWrap w:val="0"/>
            <w:vAlign w:val="center"/>
          </w:tcPr>
          <w:p w14:paraId="0F37CF2E">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362" w:type="dxa"/>
            <w:vMerge w:val="continue"/>
            <w:tcBorders>
              <w:top w:val="single" w:color="auto" w:sz="4" w:space="0"/>
              <w:left w:val="single" w:color="auto" w:sz="4" w:space="0"/>
              <w:bottom w:val="single" w:color="auto" w:sz="4" w:space="0"/>
              <w:right w:val="single" w:color="auto" w:sz="4" w:space="0"/>
            </w:tcBorders>
            <w:noWrap w:val="0"/>
            <w:vAlign w:val="center"/>
          </w:tcPr>
          <w:p w14:paraId="28FEB794">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245B9E61">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小计</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10D02620">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公务用车</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购置费</w:t>
            </w:r>
          </w:p>
        </w:tc>
        <w:tc>
          <w:tcPr>
            <w:tcW w:w="2299" w:type="dxa"/>
            <w:tcBorders>
              <w:top w:val="single" w:color="auto" w:sz="4" w:space="0"/>
              <w:left w:val="single" w:color="auto" w:sz="4" w:space="0"/>
              <w:bottom w:val="single" w:color="auto" w:sz="4" w:space="0"/>
              <w:right w:val="single" w:color="auto" w:sz="4" w:space="0"/>
            </w:tcBorders>
            <w:noWrap w:val="0"/>
            <w:vAlign w:val="center"/>
          </w:tcPr>
          <w:p w14:paraId="76FC093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公务用车</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运行维护费</w:t>
            </w:r>
          </w:p>
        </w:tc>
        <w:tc>
          <w:tcPr>
            <w:tcW w:w="2299" w:type="dxa"/>
            <w:vMerge w:val="continue"/>
            <w:tcBorders>
              <w:top w:val="single" w:color="auto" w:sz="4" w:space="0"/>
              <w:left w:val="single" w:color="auto" w:sz="4" w:space="0"/>
              <w:bottom w:val="single" w:color="auto" w:sz="4" w:space="0"/>
              <w:right w:val="single" w:color="auto" w:sz="4" w:space="0"/>
            </w:tcBorders>
            <w:noWrap w:val="0"/>
            <w:vAlign w:val="center"/>
          </w:tcPr>
          <w:p w14:paraId="3D354207">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r>
      <w:tr w14:paraId="00E4D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noWrap w:val="0"/>
            <w:vAlign w:val="center"/>
          </w:tcPr>
          <w:p w14:paraId="752BFA08">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672" w:type="dxa"/>
            <w:tcBorders>
              <w:top w:val="single" w:color="auto" w:sz="4" w:space="0"/>
              <w:left w:val="single" w:color="auto" w:sz="4" w:space="0"/>
              <w:bottom w:val="single" w:color="auto" w:sz="4" w:space="0"/>
              <w:right w:val="single" w:color="auto" w:sz="4" w:space="0"/>
            </w:tcBorders>
            <w:noWrap w:val="0"/>
            <w:vAlign w:val="center"/>
          </w:tcPr>
          <w:p w14:paraId="12416048">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27AD2E92">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301" w:type="dxa"/>
            <w:tcBorders>
              <w:top w:val="single" w:color="auto" w:sz="4" w:space="0"/>
              <w:left w:val="single" w:color="auto" w:sz="4" w:space="0"/>
              <w:bottom w:val="single" w:color="auto" w:sz="4" w:space="0"/>
              <w:right w:val="single" w:color="auto" w:sz="4" w:space="0"/>
            </w:tcBorders>
            <w:noWrap w:val="0"/>
            <w:vAlign w:val="center"/>
          </w:tcPr>
          <w:p w14:paraId="4686657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08325D0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444CC3BD">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7B89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noWrap w:val="0"/>
            <w:vAlign w:val="center"/>
          </w:tcPr>
          <w:p w14:paraId="5157619F">
            <w:pPr>
              <w:widowControl w:val="0"/>
              <w:adjustRightInd w:val="0"/>
              <w:snapToGrid w:val="0"/>
              <w:spacing w:line="360" w:lineRule="atLeast"/>
              <w:jc w:val="left"/>
              <w:textAlignment w:val="baseline"/>
              <w:rPr>
                <w:rFonts w:ascii="等线" w:hAnsi="等线" w:eastAsia="等线" w:cs="等线"/>
                <w:b w:val="0"/>
                <w:bCs w:val="0"/>
                <w:i w:val="0"/>
                <w:iCs w:val="0"/>
                <w:color w:val="333333"/>
                <w:spacing w:val="0"/>
                <w:w w:val="100"/>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注：本表反映本年度一般公共预算和政府性基金预算“三公”经费支出决算情况。</w:t>
            </w:r>
          </w:p>
        </w:tc>
      </w:tr>
    </w:tbl>
    <w:p w14:paraId="5730138B">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天津经济技术开发区南港工业区产业促进办公室2025年财政拨款“三公”经费支出决算表为空表。</w:t>
      </w:r>
    </w:p>
    <w:p w14:paraId="5DF58F36">
      <w:pPr>
        <w:pStyle w:val="22"/>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clear="none"/>
      </w:r>
      <w:bookmarkStart w:id="13" w:name="_Toc18972"/>
      <w:r>
        <w:rPr>
          <w:rFonts w:hint="eastAsia" w:ascii="黑体" w:hAnsi="黑体" w:eastAsia="黑体"/>
          <w:b w:val="0"/>
          <w:bCs w:val="0"/>
          <w:sz w:val="30"/>
          <w:szCs w:val="30"/>
          <w:lang w:val="en-US" w:eastAsia="zh-CN"/>
        </w:rPr>
        <w:t>十一、《项目支出决算表》</w:t>
      </w:r>
      <w:bookmarkEnd w:id="13"/>
    </w:p>
    <w:tbl>
      <w:tblPr>
        <w:tblStyle w:val="24"/>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101B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0A63F650">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部门：</w:t>
            </w:r>
            <w:r>
              <w:rPr>
                <w:rFonts w:hint="eastAsia" w:ascii="宋体" w:hAnsi="宋体" w:eastAsia="宋体" w:cs="宋体"/>
                <w:sz w:val="20"/>
                <w:szCs w:val="20"/>
                <w:lang w:val="en-US" w:eastAsia="zh-CN" w:bidi="ar-SA"/>
              </w:rPr>
              <w:t>天津经济技术开发区南港工业区产业促进办公室</w:t>
            </w:r>
          </w:p>
        </w:tc>
        <w:tc>
          <w:tcPr>
            <w:tcW w:w="2053" w:type="dxa"/>
            <w:tcBorders>
              <w:top w:val="nil"/>
              <w:left w:val="nil"/>
              <w:bottom w:val="nil"/>
              <w:right w:val="nil"/>
            </w:tcBorders>
            <w:noWrap/>
            <w:vAlign w:val="center"/>
          </w:tcPr>
          <w:p w14:paraId="5A858E3F">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2053" w:type="dxa"/>
            <w:tcBorders>
              <w:top w:val="nil"/>
              <w:left w:val="nil"/>
              <w:bottom w:val="nil"/>
              <w:right w:val="nil"/>
            </w:tcBorders>
            <w:noWrap/>
            <w:vAlign w:val="center"/>
          </w:tcPr>
          <w:p w14:paraId="6FA6D0BA">
            <w:pPr>
              <w:widowControl w:val="0"/>
              <w:adjustRightInd w:val="0"/>
              <w:snapToGrid w:val="0"/>
              <w:spacing w:line="360" w:lineRule="atLeast"/>
              <w:textAlignment w:val="baseline"/>
              <w:rPr>
                <w:rFonts w:hint="eastAsia" w:ascii="宋体" w:hAnsi="宋体" w:eastAsia="宋体" w:cs="宋体"/>
                <w:i w:val="0"/>
                <w:iCs w:val="0"/>
                <w:color w:val="000000"/>
                <w:sz w:val="20"/>
                <w:szCs w:val="20"/>
                <w:u w:val="none"/>
                <w:lang w:val="en-US" w:eastAsia="zh-CN" w:bidi="ar-SA"/>
              </w:rPr>
            </w:pPr>
          </w:p>
        </w:tc>
        <w:tc>
          <w:tcPr>
            <w:tcW w:w="4107" w:type="dxa"/>
            <w:gridSpan w:val="2"/>
            <w:tcBorders>
              <w:top w:val="nil"/>
              <w:left w:val="nil"/>
              <w:bottom w:val="nil"/>
              <w:right w:val="nil"/>
            </w:tcBorders>
            <w:noWrap/>
            <w:vAlign w:val="center"/>
          </w:tcPr>
          <w:p w14:paraId="78C098CB">
            <w:pPr>
              <w:keepNext w:val="0"/>
              <w:keepLines w:val="0"/>
              <w:widowControl/>
              <w:suppressLineNumbers w:val="0"/>
              <w:adjustRightInd w:val="0"/>
              <w:snapToGrid w:val="0"/>
              <w:spacing w:line="360" w:lineRule="atLeast"/>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金额单位：元</w:t>
            </w:r>
          </w:p>
        </w:tc>
      </w:tr>
      <w:tr w14:paraId="1B71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4CFD2937">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77A764EA">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523E0A7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本  年  支  出</w:t>
            </w:r>
          </w:p>
        </w:tc>
      </w:tr>
      <w:tr w14:paraId="74F1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17C5357F">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3DAD3528">
            <w:pPr>
              <w:widowControl w:val="0"/>
              <w:adjustRightInd w:val="0"/>
              <w:snapToGrid w:val="0"/>
              <w:spacing w:line="360" w:lineRule="atLeast"/>
              <w:jc w:val="center"/>
              <w:textAlignment w:val="baseline"/>
              <w:rPr>
                <w:rFonts w:hint="eastAsia" w:ascii="宋体" w:hAnsi="宋体" w:eastAsia="宋体" w:cs="宋体"/>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19BE933">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  计</w:t>
            </w:r>
          </w:p>
        </w:tc>
        <w:tc>
          <w:tcPr>
            <w:tcW w:w="2053" w:type="dxa"/>
            <w:tcBorders>
              <w:top w:val="single" w:color="000000" w:sz="4" w:space="0"/>
              <w:left w:val="single" w:color="000000" w:sz="4" w:space="0"/>
              <w:bottom w:val="single" w:color="000000" w:sz="4" w:space="0"/>
              <w:right w:val="single" w:color="000000" w:sz="4" w:space="0"/>
            </w:tcBorders>
            <w:noWrap w:val="0"/>
            <w:vAlign w:val="center"/>
          </w:tcPr>
          <w:p w14:paraId="604BB67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一般公共</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预算</w:t>
            </w:r>
          </w:p>
        </w:tc>
        <w:tc>
          <w:tcPr>
            <w:tcW w:w="2053" w:type="dxa"/>
            <w:tcBorders>
              <w:top w:val="single" w:color="000000" w:sz="4" w:space="0"/>
              <w:left w:val="single" w:color="000000" w:sz="4" w:space="0"/>
              <w:bottom w:val="single" w:color="000000" w:sz="4" w:space="0"/>
              <w:right w:val="single" w:color="000000" w:sz="4" w:space="0"/>
            </w:tcBorders>
            <w:noWrap w:val="0"/>
            <w:vAlign w:val="center"/>
          </w:tcPr>
          <w:p w14:paraId="557FA69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政府性基金</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预算</w:t>
            </w:r>
          </w:p>
        </w:tc>
        <w:tc>
          <w:tcPr>
            <w:tcW w:w="2053" w:type="dxa"/>
            <w:tcBorders>
              <w:top w:val="single" w:color="000000" w:sz="4" w:space="0"/>
              <w:left w:val="single" w:color="000000" w:sz="4" w:space="0"/>
              <w:bottom w:val="single" w:color="000000" w:sz="4" w:space="0"/>
              <w:right w:val="single" w:color="000000" w:sz="4" w:space="0"/>
            </w:tcBorders>
            <w:noWrap w:val="0"/>
            <w:vAlign w:val="center"/>
          </w:tcPr>
          <w:p w14:paraId="3335EAA2">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国有资本</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经营预算</w:t>
            </w:r>
          </w:p>
        </w:tc>
        <w:tc>
          <w:tcPr>
            <w:tcW w:w="2053" w:type="dxa"/>
            <w:tcBorders>
              <w:top w:val="single" w:color="000000" w:sz="4" w:space="0"/>
              <w:left w:val="single" w:color="000000" w:sz="4" w:space="0"/>
              <w:bottom w:val="single" w:color="000000" w:sz="4" w:space="0"/>
              <w:right w:val="single" w:color="000000" w:sz="4" w:space="0"/>
            </w:tcBorders>
            <w:noWrap w:val="0"/>
            <w:vAlign w:val="center"/>
          </w:tcPr>
          <w:p w14:paraId="10C52119">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财政专户</w:t>
            </w:r>
            <w:r>
              <w:rPr>
                <w:rFonts w:hint="eastAsia" w:ascii="宋体" w:hAnsi="宋体" w:eastAsia="宋体" w:cs="宋体"/>
                <w:i w:val="0"/>
                <w:iCs w:val="0"/>
                <w:color w:val="000000"/>
                <w:kern w:val="0"/>
                <w:sz w:val="20"/>
                <w:szCs w:val="20"/>
                <w:u w:val="none"/>
                <w:lang w:val="en-US" w:eastAsia="zh-CN"/>
              </w:rPr>
              <w:br w:type="textWrapping" w:clear="none"/>
            </w:r>
            <w:r>
              <w:rPr>
                <w:rFonts w:hint="eastAsia" w:ascii="宋体" w:hAnsi="宋体" w:eastAsia="宋体" w:cs="宋体"/>
                <w:i w:val="0"/>
                <w:iCs w:val="0"/>
                <w:color w:val="000000"/>
                <w:kern w:val="0"/>
                <w:sz w:val="20"/>
                <w:szCs w:val="20"/>
                <w:u w:val="none"/>
                <w:lang w:val="en-US" w:eastAsia="zh-CN" w:bidi="ar-SA"/>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108CB165">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单位资金</w:t>
            </w:r>
          </w:p>
        </w:tc>
      </w:tr>
      <w:tr w14:paraId="699C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noWrap w:val="0"/>
            <w:vAlign w:val="center"/>
          </w:tcPr>
          <w:p w14:paraId="72A73846">
            <w:pPr>
              <w:keepNext w:val="0"/>
              <w:keepLines w:val="0"/>
              <w:widowControl/>
              <w:suppressLineNumbers w:val="0"/>
              <w:adjustRightInd w:val="0"/>
              <w:snapToGrid w:val="0"/>
              <w:spacing w:line="360" w:lineRule="atLeas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合  计</w:t>
            </w:r>
          </w:p>
        </w:tc>
        <w:tc>
          <w:tcPr>
            <w:tcW w:w="2053" w:type="dxa"/>
            <w:tcBorders>
              <w:top w:val="single" w:color="000000" w:sz="4" w:space="0"/>
              <w:left w:val="single" w:color="000000" w:sz="4" w:space="0"/>
              <w:bottom w:val="single" w:color="000000" w:sz="4" w:space="0"/>
              <w:right w:val="single" w:color="000000" w:sz="4" w:space="0"/>
            </w:tcBorders>
            <w:noWrap w:val="0"/>
            <w:vAlign w:val="center"/>
          </w:tcPr>
          <w:p w14:paraId="734F374E">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highlight w:val="none"/>
                <w:u w:val="none"/>
                <w:lang w:val="en-US" w:eastAsia="zh-CN" w:bidi="ar-SA"/>
              </w:rPr>
              <w:t>4763302.37</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FF77D44">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highlight w:val="none"/>
                <w:u w:val="none"/>
                <w:lang w:val="en-US" w:eastAsia="zh-CN" w:bidi="ar-SA"/>
              </w:rPr>
              <w:t>1003302.37</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1F34260">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kern w:val="0"/>
                <w:sz w:val="20"/>
                <w:szCs w:val="20"/>
                <w:highlight w:val="none"/>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F510706">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A54E2A7">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07B9607C">
            <w:pPr>
              <w:keepNext w:val="0"/>
              <w:keepLines w:val="0"/>
              <w:widowControl/>
              <w:suppressLineNumbers w:val="0"/>
              <w:adjustRightInd w:val="0"/>
              <w:spacing w:line="360" w:lineRule="atLeast"/>
              <w:jc w:val="right"/>
              <w:textAlignment w:val="center"/>
              <w:rPr>
                <w:rFonts w:ascii="Times New Roman" w:hAnsi="Times New Roman" w:eastAsia="宋体" w:cs="Times New Roman"/>
                <w:i w:val="0"/>
                <w:iCs w:val="0"/>
                <w:color w:val="000000"/>
                <w:sz w:val="20"/>
                <w:szCs w:val="20"/>
                <w:u w:val="none"/>
                <w:lang w:val="en-US" w:eastAsia="zh-CN" w:bidi="ar-SA"/>
              </w:rPr>
            </w:pPr>
          </w:p>
        </w:tc>
      </w:tr>
      <w:tr w14:paraId="1057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E8831">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20A21">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BC9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1FCD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AF6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50EF">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106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3AC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7CB11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F464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549CE">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商贸事务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11E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1232">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1003302.37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FAD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5B7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874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51A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567A2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CE080">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B6D25">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FA3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151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480000.00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341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016F">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C83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8AD0">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BC55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E0E6F">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2011308</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B1423">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招商引资</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DAC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54E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523302.37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790D">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E45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EA4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EEF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59578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1566C">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B1D2C">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367C">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F21B">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CB13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E565">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BB99">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6717">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0499D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9A753">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BFD53">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超长期特别国债安排的支出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E0D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C1F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115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0093">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443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8DE8">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3CB4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A8F8B">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2159802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AEB6">
            <w:pPr>
              <w:keepNext w:val="0"/>
              <w:keepLines w:val="0"/>
              <w:widowControl/>
              <w:suppressLineNumbers w:val="0"/>
              <w:adjustRightInd w:val="0"/>
              <w:snapToGrid w:val="0"/>
              <w:spacing w:line="360" w:lineRule="atLeast"/>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sz w:val="20"/>
                <w:szCs w:val="20"/>
                <w:u w:val="none"/>
                <w:lang w:val="en-US" w:eastAsia="zh-CN" w:bidi="ar-SA"/>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FFCE">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1E51">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AAE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r>
              <w:rPr>
                <w:rFonts w:ascii="Times New Roman" w:hAnsi="Times New Roman" w:eastAsia="宋体" w:cs="Times New Roman"/>
                <w:i w:val="0"/>
                <w:iCs w:val="0"/>
                <w:color w:val="000000"/>
                <w:sz w:val="20"/>
                <w:szCs w:val="20"/>
                <w:u w:val="none"/>
                <w:lang w:val="en-US" w:eastAsia="zh-CN" w:bidi="ar-SA"/>
              </w:rPr>
              <w:t>3760000.00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CFD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B3B4">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81CA">
            <w:pPr>
              <w:keepNext w:val="0"/>
              <w:keepLines w:val="0"/>
              <w:widowControl/>
              <w:suppressLineNumbers w:val="0"/>
              <w:adjustRightInd w:val="0"/>
              <w:snapToGrid w:val="0"/>
              <w:spacing w:line="360" w:lineRule="atLeast"/>
              <w:jc w:val="right"/>
              <w:textAlignment w:val="baseline"/>
              <w:rPr>
                <w:rFonts w:ascii="Times New Roman" w:hAnsi="Times New Roman" w:eastAsia="宋体" w:cs="Times New Roman"/>
                <w:i w:val="0"/>
                <w:iCs w:val="0"/>
                <w:color w:val="000000"/>
                <w:sz w:val="20"/>
                <w:szCs w:val="20"/>
                <w:u w:val="none"/>
                <w:lang w:val="en-US" w:eastAsia="zh-CN" w:bidi="ar-SA"/>
              </w:rPr>
            </w:pPr>
          </w:p>
        </w:tc>
      </w:tr>
      <w:tr w14:paraId="248D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noWrap w:val="0"/>
            <w:vAlign w:val="center"/>
          </w:tcPr>
          <w:p w14:paraId="324F5965">
            <w:pPr>
              <w:keepNext w:val="0"/>
              <w:keepLines w:val="0"/>
              <w:widowControl/>
              <w:suppressLineNumbers w:val="0"/>
              <w:adjustRightInd w:val="0"/>
              <w:snapToGrid w:val="0"/>
              <w:spacing w:line="360" w:lineRule="atLeast"/>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SA"/>
              </w:rPr>
              <w:t>注：本表反映本年度项目支出决算情况，其中支出数包括当年预算资金和以前年度结转资金安排的合计实际支出。</w:t>
            </w:r>
          </w:p>
        </w:tc>
      </w:tr>
    </w:tbl>
    <w:p w14:paraId="6884427B">
      <w:pPr>
        <w:sectPr>
          <w:footerReference r:id="rId9"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5A64136">
      <w:pPr>
        <w:pStyle w:val="23"/>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4"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4"/>
    </w:p>
    <w:p w14:paraId="61A69106">
      <w:pPr>
        <w:spacing w:line="600" w:lineRule="exact"/>
        <w:ind w:firstLine="600" w:firstLineChars="200"/>
        <w:rPr>
          <w:rFonts w:hint="eastAsia" w:ascii="黑体" w:eastAsia="黑体"/>
          <w:sz w:val="30"/>
          <w:szCs w:val="30"/>
          <w:highlight w:val="none"/>
        </w:rPr>
      </w:pPr>
    </w:p>
    <w:p w14:paraId="4FF7CFB6">
      <w:pPr>
        <w:pStyle w:val="22"/>
        <w:wordWrap w:val="0"/>
        <w:spacing w:before="0" w:after="0" w:line="600" w:lineRule="exact"/>
        <w:ind w:firstLine="600" w:firstLineChars="200"/>
        <w:rPr>
          <w:rFonts w:hint="eastAsia" w:ascii="黑体" w:hAnsi="黑体" w:eastAsia="黑体" w:cs="方正仿宋_GB2312"/>
          <w:b w:val="0"/>
          <w:bCs/>
          <w:sz w:val="30"/>
          <w:szCs w:val="30"/>
          <w:lang w:val="en-US" w:eastAsia="zh-CN"/>
        </w:rPr>
      </w:pPr>
      <w:bookmarkStart w:id="15" w:name="_Toc7052"/>
      <w:r>
        <w:rPr>
          <w:rFonts w:hint="eastAsia" w:ascii="黑体" w:hAnsi="黑体" w:eastAsia="黑体" w:cs="方正仿宋_GB2312"/>
          <w:b w:val="0"/>
          <w:bCs/>
          <w:sz w:val="30"/>
          <w:szCs w:val="30"/>
          <w:lang w:val="en-US" w:eastAsia="zh-CN"/>
        </w:rPr>
        <w:t>一、收入支出决算总体情况说明</w:t>
      </w:r>
      <w:bookmarkEnd w:id="15"/>
    </w:p>
    <w:p w14:paraId="60397D5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收入、支出决算总计14,989,635.13元。与2024年度相比，收、支总计各减少12,276,582.04元，下降45.02%，主要原因是本年度对区内先进制造业产业支持的相关项目较去年有所减少。</w:t>
      </w:r>
    </w:p>
    <w:p w14:paraId="56A971E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收入包括：一般公共预算财政拨款收入11,229,635.13元、政府性基金预算财政拨款收入3,760,000.00元。</w:t>
      </w:r>
    </w:p>
    <w:p w14:paraId="63B0D898">
      <w:pPr>
        <w:spacing w:line="600" w:lineRule="exact"/>
        <w:ind w:firstLine="600"/>
        <w:rPr>
          <w:rFonts w:hint="eastAsia" w:eastAsia="仿宋_GB2312"/>
          <w:sz w:val="30"/>
          <w:szCs w:val="30"/>
          <w:highlight w:val="none"/>
          <w:lang w:val="en-US" w:eastAsia="zh-CN"/>
        </w:rPr>
      </w:pPr>
      <w:bookmarkStart w:id="16" w:name="_Toc6621"/>
      <w:r>
        <w:rPr>
          <w:rFonts w:hint="eastAsia" w:eastAsia="仿宋_GB2312"/>
          <w:sz w:val="30"/>
          <w:szCs w:val="30"/>
          <w:highlight w:val="none"/>
          <w:lang w:val="en-US" w:eastAsia="zh-CN"/>
        </w:rPr>
        <w:t>支出包括：一般公共服务支出11,229,635.13元、资源勘探工业信息等支出3,760,000.00元。</w:t>
      </w:r>
    </w:p>
    <w:p w14:paraId="27C46BC4">
      <w:pPr>
        <w:pStyle w:val="22"/>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6"/>
    </w:p>
    <w:p w14:paraId="50B72B62">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南港工业区产业促进办公室2025年度本年收入合计14,989,635.13元，与2024年度相比减少12,276,582.04元，主要原因是本年度对区内先进制造业产业支持的相关项目较去年有所减少。其中：一般公共预算财政拨款收入11,229,635.13元，占74.92%；政府性基金预算财政拨款收入3,760,000.00元，占25.08%。</w:t>
      </w:r>
    </w:p>
    <w:p w14:paraId="634ED329">
      <w:pPr>
        <w:pStyle w:val="22"/>
        <w:pageBreakBefore w:val="0"/>
        <w:kinsoku/>
        <w:wordWrap/>
        <w:overflowPunct/>
        <w:topLinePunct w:val="0"/>
        <w:autoSpaceDE/>
        <w:autoSpaceDN/>
        <w:bidi w:val="0"/>
        <w:snapToGrid/>
        <w:spacing w:before="0" w:after="0" w:line="600" w:lineRule="exact"/>
        <w:ind w:firstLine="600" w:firstLineChars="200"/>
        <w:outlineLvl w:val="0"/>
        <w:rPr>
          <w:rFonts w:hint="eastAsia" w:ascii="黑体" w:hAnsi="黑体" w:eastAsia="黑体" w:cs="方正仿宋_GB2312"/>
          <w:b w:val="0"/>
          <w:bCs/>
          <w:sz w:val="30"/>
          <w:szCs w:val="30"/>
          <w:highlight w:val="none"/>
          <w:u w:val="none"/>
          <w:lang w:val="en-US" w:eastAsia="zh-CN"/>
        </w:rPr>
      </w:pPr>
      <w:bookmarkStart w:id="17" w:name="_Toc21049"/>
      <w:r>
        <w:rPr>
          <w:rFonts w:hint="eastAsia" w:ascii="黑体" w:hAnsi="黑体" w:eastAsia="黑体" w:cs="方正仿宋_GB2312"/>
          <w:b w:val="0"/>
          <w:bCs/>
          <w:sz w:val="30"/>
          <w:szCs w:val="30"/>
          <w:highlight w:val="none"/>
          <w:u w:val="none"/>
          <w:lang w:val="en-US" w:eastAsia="zh-CN"/>
        </w:rPr>
        <w:t>三、支出决算情况说明</w:t>
      </w:r>
      <w:bookmarkEnd w:id="17"/>
    </w:p>
    <w:p w14:paraId="17C29910">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天津经济技术开发区南港工业区产业促进办公室2025年度本年支出合计14,989,635.13元，与2024年度相比减少12,276,581.98元，主要原因是本年度对区内先进制造业产业支持的相关项目较去年有所减少。其中：</w:t>
      </w:r>
      <w:r>
        <w:rPr>
          <w:rFonts w:hint="eastAsia" w:eastAsia="仿宋_GB2312"/>
          <w:sz w:val="30"/>
          <w:szCs w:val="30"/>
          <w:highlight w:val="none"/>
        </w:rPr>
        <w:t>基本支出10,226,332.76元，占68.22%；项目支出4,763,302.37元，占31.78%。</w:t>
      </w:r>
    </w:p>
    <w:p w14:paraId="2AB9B7CF">
      <w:pPr>
        <w:pStyle w:val="22"/>
        <w:pageBreakBefore w:val="0"/>
        <w:kinsoku/>
        <w:wordWrap/>
        <w:overflowPunct/>
        <w:topLinePunct w:val="0"/>
        <w:autoSpaceDE/>
        <w:autoSpaceDN/>
        <w:bidi w:val="0"/>
        <w:snapToGrid/>
        <w:spacing w:before="0" w:after="0" w:line="600" w:lineRule="exact"/>
        <w:ind w:firstLine="600" w:firstLineChars="200"/>
        <w:outlineLvl w:val="0"/>
        <w:rPr>
          <w:rFonts w:hint="eastAsia" w:ascii="黑体" w:hAnsi="黑体" w:eastAsia="黑体" w:cs="方正仿宋_GB2312"/>
          <w:b w:val="0"/>
          <w:bCs/>
          <w:sz w:val="30"/>
          <w:szCs w:val="30"/>
          <w:highlight w:val="none"/>
          <w:u w:val="none"/>
          <w:lang w:val="en-US" w:eastAsia="zh-CN"/>
        </w:rPr>
      </w:pPr>
      <w:bookmarkStart w:id="18" w:name="_Toc8231"/>
      <w:r>
        <w:rPr>
          <w:rFonts w:hint="eastAsia" w:ascii="黑体" w:hAnsi="黑体" w:eastAsia="黑体" w:cs="方正仿宋_GB2312"/>
          <w:b w:val="0"/>
          <w:bCs/>
          <w:sz w:val="30"/>
          <w:szCs w:val="30"/>
          <w:highlight w:val="none"/>
          <w:u w:val="none"/>
          <w:lang w:val="en-US" w:eastAsia="zh-CN"/>
        </w:rPr>
        <w:t>四、财政拨款收支决算总体情况说明</w:t>
      </w:r>
      <w:bookmarkEnd w:id="18"/>
    </w:p>
    <w:p w14:paraId="2D33351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财政拨款收入、支出决算总计14,989,635.13元。与2024年度相比，财政拨款收、支总计各减少12,276,581.98元，下降45.02%，主要原因是本年度对区内先进制造业产业支持的相关项目较去年有所减少。</w:t>
      </w:r>
    </w:p>
    <w:p w14:paraId="51B4471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收入包括：一般公共预算财政拨款11,229,635.13元、政府性基金预算财政拨款3,760,000.00元。</w:t>
      </w:r>
    </w:p>
    <w:p w14:paraId="38739A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支出包括：一般公共服务支出11,229,635.13元、资源勘探工业信息等支出3,760,000.00元。</w:t>
      </w:r>
    </w:p>
    <w:p w14:paraId="6DD8FEC5">
      <w:pPr>
        <w:pStyle w:val="22"/>
        <w:pageBreakBefore w:val="0"/>
        <w:kinsoku/>
        <w:wordWrap/>
        <w:overflowPunct/>
        <w:topLinePunct w:val="0"/>
        <w:autoSpaceDE/>
        <w:autoSpaceDN/>
        <w:bidi w:val="0"/>
        <w:snapToGrid/>
        <w:spacing w:before="0" w:after="0" w:line="600" w:lineRule="exact"/>
        <w:ind w:firstLine="600" w:firstLineChars="200"/>
        <w:outlineLvl w:val="0"/>
        <w:rPr>
          <w:rFonts w:hint="eastAsia" w:ascii="黑体" w:hAnsi="黑体" w:eastAsia="黑体" w:cs="方正仿宋_GB2312"/>
          <w:b w:val="0"/>
          <w:bCs/>
          <w:sz w:val="30"/>
          <w:szCs w:val="30"/>
          <w:highlight w:val="none"/>
          <w:u w:val="none"/>
          <w:lang w:val="en-US" w:eastAsia="zh-CN"/>
        </w:rPr>
      </w:pPr>
      <w:bookmarkStart w:id="19" w:name="_Toc24201"/>
      <w:r>
        <w:rPr>
          <w:rFonts w:hint="eastAsia" w:ascii="黑体" w:hAnsi="黑体" w:eastAsia="黑体" w:cs="方正仿宋_GB2312"/>
          <w:b w:val="0"/>
          <w:bCs/>
          <w:sz w:val="30"/>
          <w:szCs w:val="30"/>
          <w:highlight w:val="none"/>
          <w:u w:val="none"/>
          <w:lang w:val="en-US" w:eastAsia="zh-CN"/>
        </w:rPr>
        <w:t>五、一般公共预算财政拨款支出决算情况说明</w:t>
      </w:r>
      <w:bookmarkEnd w:id="19"/>
    </w:p>
    <w:p w14:paraId="27720324">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66A8A78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一般公共预算财政拨款支出合计11,229,635.13元，占本年支出合计的74.92%。与2024年度相比，一般公共预算财政拨款支出减少16,036,581.98元，下降58.81%，主要原因是本年度对区内先进制造业产业支持的相关项目较去年有所减少。</w:t>
      </w:r>
    </w:p>
    <w:p w14:paraId="39B8B81C">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382DEBDF">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2025年度一般公共预算财政拨款支出11,229,635.13元，主要用于以下方面：</w:t>
      </w:r>
      <w:r>
        <w:rPr>
          <w:rFonts w:hint="eastAsia" w:eastAsia="仿宋_GB2312"/>
          <w:sz w:val="30"/>
          <w:szCs w:val="30"/>
          <w:highlight w:val="none"/>
        </w:rPr>
        <w:t>一般公共服务支出（类）支出11,229,635.13元，占100.00%。</w:t>
      </w:r>
    </w:p>
    <w:p w14:paraId="39972502">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681B10C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2025年度一般公共预算财政拨款支出年初预算为12,937,100.00元，支出决算为11,229,635.13元，完成年初预算的86.80%。其中：</w:t>
      </w:r>
    </w:p>
    <w:p w14:paraId="51F7C3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商贸事务（款）行政运行（项）年初预算为11,457,100.00元，支出决算为10,226,332.76元，完成年初预算的89.26%，决算数小于年初预算数的主要原因是：从严从紧管控一般性支出，同时优化调整部分公务活动。</w:t>
      </w:r>
    </w:p>
    <w:p w14:paraId="340E415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2.一般公共服务支出（类）商贸事务（款）一般行政管理事务（项）年初预算为480,000.00元，支出决算为480,000.00元，完成年初预算的100.00%，决算数与年初预算数持平的主要原因是：严格按照年初预算执行完毕。</w:t>
      </w:r>
    </w:p>
    <w:p w14:paraId="15EE9F7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商贸事务（款）招商引资（项）年初预算为1,000,000.00元，支出决算为523,302.37元，完成年初预算的52.33%，决算数小于年初预算数的主要原因是：落实“过紧日子”要求，优化招商推介活动，压减相关经费支出。</w:t>
      </w:r>
    </w:p>
    <w:p w14:paraId="53839579">
      <w:pPr>
        <w:pStyle w:val="22"/>
        <w:spacing w:before="0" w:after="0" w:line="600" w:lineRule="exact"/>
        <w:ind w:firstLine="600" w:firstLineChars="200"/>
        <w:rPr>
          <w:rFonts w:ascii="黑体" w:hAnsi="黑体" w:eastAsia="黑体"/>
          <w:b w:val="0"/>
          <w:bCs/>
          <w:sz w:val="30"/>
          <w:szCs w:val="30"/>
          <w:highlight w:val="none"/>
        </w:rPr>
      </w:pPr>
      <w:bookmarkStart w:id="20" w:name="_Toc17234"/>
      <w:r>
        <w:rPr>
          <w:rFonts w:hint="eastAsia" w:ascii="黑体" w:hAnsi="黑体" w:eastAsia="黑体" w:cs="方正仿宋_GB2312"/>
          <w:b w:val="0"/>
          <w:bCs/>
          <w:sz w:val="30"/>
          <w:szCs w:val="30"/>
          <w:highlight w:val="none"/>
          <w:u w:val="none"/>
          <w:lang w:val="en-US" w:eastAsia="zh-CN"/>
        </w:rPr>
        <w:t>六、一般公共预算财政拨款基本支出决算情况说明</w:t>
      </w:r>
      <w:bookmarkEnd w:id="20"/>
    </w:p>
    <w:p w14:paraId="05A0F9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一般公共预算财政拨款基本支出合计10,226,332.76元，与2024年度相比减少131,644.99元，主要原因是从严从紧管控一般性支出，同时优化调整部分公务活动。其中：</w:t>
      </w:r>
    </w:p>
    <w:p w14:paraId="2223C8A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人员经费9,854,817.33元，主要包括基本工资、津贴补贴、机关事业单位基本养老保险缴费、职业年金缴费、职工基本医疗保险缴费、其他社会保障缴费、住房公积金。</w:t>
      </w:r>
    </w:p>
    <w:p w14:paraId="7DAC6C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公用经费371,515.43元，主要包括办公费、手续费、水费、邮电费、差旅费、维修(护)费、培训费、其他交通费用、其他商品和服务支出。</w:t>
      </w:r>
    </w:p>
    <w:p w14:paraId="52CAB71C">
      <w:pPr>
        <w:pStyle w:val="22"/>
        <w:spacing w:before="0" w:after="0" w:line="600" w:lineRule="exact"/>
        <w:ind w:firstLine="600" w:firstLineChars="200"/>
        <w:rPr>
          <w:rFonts w:hint="eastAsia" w:ascii="楷体" w:hAnsi="楷体" w:eastAsia="楷体" w:cs="方正仿宋_GB2312"/>
          <w:b w:val="0"/>
          <w:bCs/>
          <w:sz w:val="30"/>
          <w:szCs w:val="30"/>
          <w:highlight w:val="none"/>
        </w:rPr>
      </w:pPr>
      <w:bookmarkStart w:id="21" w:name="_Toc11228"/>
      <w:r>
        <w:rPr>
          <w:rFonts w:hint="eastAsia" w:ascii="黑体" w:hAnsi="黑体" w:eastAsia="黑体" w:cs="方正仿宋_GB2312"/>
          <w:b w:val="0"/>
          <w:bCs/>
          <w:sz w:val="30"/>
          <w:szCs w:val="30"/>
          <w:highlight w:val="none"/>
          <w:u w:val="none"/>
          <w:lang w:val="en-US" w:eastAsia="zh-CN"/>
        </w:rPr>
        <w:t>七、政府性基金预算财政拨款收支决算情况说明</w:t>
      </w:r>
      <w:bookmarkEnd w:id="21"/>
    </w:p>
    <w:p w14:paraId="1BEAF1A2">
      <w:pPr>
        <w:wordWrap w:val="0"/>
        <w:spacing w:line="600" w:lineRule="exact"/>
        <w:ind w:firstLine="602" w:firstLineChars="200"/>
        <w:rPr>
          <w:rFonts w:hint="eastAsia" w:ascii="楷体" w:hAnsi="楷体" w:eastAsia="楷体" w:cs="楷体"/>
          <w:b/>
          <w:bCs/>
          <w:sz w:val="30"/>
          <w:szCs w:val="30"/>
          <w:highlight w:val="none"/>
          <w:lang w:val="en-US" w:eastAsia="zh-CN"/>
        </w:rPr>
      </w:pPr>
      <w:r>
        <w:rPr>
          <w:rFonts w:hint="eastAsia" w:ascii="楷体" w:hAnsi="楷体" w:eastAsia="楷体" w:cs="楷体"/>
          <w:b/>
          <w:bCs/>
          <w:sz w:val="30"/>
          <w:szCs w:val="30"/>
          <w:highlight w:val="none"/>
          <w:lang w:val="en-US" w:eastAsia="zh-CN"/>
        </w:rPr>
        <w:t>（一）总体情况</w:t>
      </w:r>
    </w:p>
    <w:p w14:paraId="25ACEF6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政府性基金预算财政拨款年初结转和结余0.00元，收入3,760,000.00元，支出3,760,000.00元，年末结转和结余0.00元。与2024年度相比，政府性基金预算财政拨款支出增加3,760,000.00元，主要原因是本年度对区内部分重点产业相关项目的支持较上年度增加。</w:t>
      </w:r>
    </w:p>
    <w:p w14:paraId="546CAFAE">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14:paraId="727952C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2025年度政府性基金预算财政拨款支出3,760,000.00元，主要用于以下方面：</w:t>
      </w:r>
      <w:r>
        <w:rPr>
          <w:rFonts w:hint="eastAsia" w:eastAsia="仿宋_GB2312"/>
          <w:sz w:val="28"/>
          <w:szCs w:val="28"/>
          <w:highlight w:val="none"/>
        </w:rPr>
        <w:t>资源勘探工业信息等支出（类）支出3,760,000.00元，占100.00%</w:t>
      </w:r>
      <w:r>
        <w:rPr>
          <w:rFonts w:hint="eastAsia" w:eastAsia="仿宋_GB2312"/>
          <w:sz w:val="30"/>
          <w:szCs w:val="30"/>
          <w:highlight w:val="none"/>
          <w:lang w:val="en-US" w:eastAsia="zh-CN"/>
        </w:rPr>
        <w:t>。</w:t>
      </w:r>
    </w:p>
    <w:p w14:paraId="351418A6">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14:paraId="4C85E18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2025年度政府性基金预算财政拨款支出年初预算为0.00元，支出决算为3,760,000.00元。其中：</w:t>
      </w:r>
    </w:p>
    <w:p w14:paraId="7E6737C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资源勘探工业信息等支出（类）超长期特别国债安排的支出（款）制造业（项）年初预算为0.00元，支出决算为3,760,000.00元，决算数大于年初预算数的主要原因是：根据工作安排，年中追加对重点行业扶持专项资金并支出。</w:t>
      </w:r>
    </w:p>
    <w:p w14:paraId="592EEDE7">
      <w:pPr>
        <w:pStyle w:val="22"/>
        <w:spacing w:before="0" w:after="0" w:line="600" w:lineRule="exact"/>
        <w:ind w:firstLine="600" w:firstLineChars="200"/>
        <w:rPr>
          <w:rFonts w:hint="eastAsia" w:ascii="黑体" w:hAnsi="黑体" w:eastAsia="黑体" w:cs="方正仿宋_GB2312"/>
          <w:b w:val="0"/>
          <w:bCs/>
          <w:sz w:val="30"/>
          <w:szCs w:val="30"/>
          <w:highlight w:val="none"/>
          <w:u w:val="none"/>
          <w:lang w:val="en-US" w:eastAsia="zh-CN"/>
        </w:rPr>
      </w:pPr>
      <w:bookmarkStart w:id="22" w:name="_Toc2429"/>
      <w:r>
        <w:rPr>
          <w:rFonts w:hint="eastAsia" w:ascii="黑体" w:hAnsi="黑体" w:eastAsia="黑体" w:cs="方正仿宋_GB2312"/>
          <w:b w:val="0"/>
          <w:bCs/>
          <w:sz w:val="30"/>
          <w:szCs w:val="30"/>
          <w:highlight w:val="none"/>
          <w:u w:val="none"/>
          <w:lang w:val="en-US" w:eastAsia="zh-CN"/>
        </w:rPr>
        <w:t>八、国有资本经营预算财政拨款收支决算情况说明</w:t>
      </w:r>
      <w:bookmarkEnd w:id="22"/>
    </w:p>
    <w:p w14:paraId="10A9160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天津经济技术开发区南港工业区产业促进办公室2025年度无国有资本经营预算财政拨款收入、支出和结转结余。</w:t>
      </w:r>
    </w:p>
    <w:p w14:paraId="09D08F7E">
      <w:pPr>
        <w:pStyle w:val="22"/>
        <w:spacing w:before="0" w:after="0" w:line="600" w:lineRule="exact"/>
        <w:ind w:firstLine="600" w:firstLineChars="200"/>
        <w:rPr>
          <w:rFonts w:hint="eastAsia" w:ascii="黑体" w:hAnsi="黑体" w:eastAsia="黑体" w:cs="方正仿宋_GB2312"/>
          <w:b w:val="0"/>
          <w:bCs/>
          <w:sz w:val="30"/>
          <w:szCs w:val="30"/>
          <w:highlight w:val="none"/>
          <w:u w:val="none"/>
          <w:lang w:val="en-US" w:eastAsia="zh-CN"/>
        </w:rPr>
      </w:pPr>
      <w:bookmarkStart w:id="23" w:name="_Toc22288"/>
      <w:r>
        <w:rPr>
          <w:rFonts w:hint="eastAsia" w:ascii="黑体" w:hAnsi="黑体" w:eastAsia="黑体" w:cs="方正仿宋_GB2312"/>
          <w:b w:val="0"/>
          <w:bCs/>
          <w:sz w:val="30"/>
          <w:szCs w:val="30"/>
          <w:highlight w:val="none"/>
          <w:u w:val="none"/>
          <w:lang w:val="en-US" w:eastAsia="zh-CN"/>
        </w:rPr>
        <w:t>九、财政拨款“三公”经费支出决算情况说明</w:t>
      </w:r>
      <w:bookmarkEnd w:id="23"/>
    </w:p>
    <w:p w14:paraId="3BA938C6">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7E2C0FBD">
      <w:pPr>
        <w:spacing w:line="600" w:lineRule="exact"/>
        <w:ind w:firstLine="600"/>
        <w:rPr>
          <w:rFonts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减少285,494.44元，下降100.00%。决算数与预算数持平的主要原因是本年度未用财政拨款经费列支“三公”经费；决算数较上年减少的主要原因是本年度未用财政拨款经费列支“三公”经费。</w:t>
      </w:r>
    </w:p>
    <w:p w14:paraId="336D1B69">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492E146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285,494.44元，下降100.00%。决算数与预算数持平的主要原因是本年度未用财政拨款经费列支因公出国（境）经费；决算数较上年减少的主要原因是本年度未用财政拨款经费列支因公出国（境）经费。</w:t>
      </w:r>
    </w:p>
    <w:p w14:paraId="353F2BD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0F492C3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1C14C6C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1EA8551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2EF22B1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51BCE69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1FE002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390064F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7C341810">
      <w:pPr>
        <w:pStyle w:val="22"/>
        <w:spacing w:before="0" w:after="0" w:line="600" w:lineRule="exact"/>
        <w:ind w:firstLine="600" w:firstLineChars="200"/>
        <w:rPr>
          <w:rFonts w:ascii="黑体" w:hAnsi="黑体" w:eastAsia="黑体"/>
          <w:b w:val="0"/>
          <w:bCs/>
          <w:sz w:val="30"/>
          <w:szCs w:val="30"/>
          <w:highlight w:val="none"/>
        </w:rPr>
      </w:pPr>
      <w:bookmarkStart w:id="24" w:name="_Toc30303"/>
      <w:r>
        <w:rPr>
          <w:rFonts w:hint="eastAsia" w:ascii="黑体" w:hAnsi="黑体" w:eastAsia="黑体" w:cs="方正仿宋_GB2312"/>
          <w:b w:val="0"/>
          <w:bCs/>
          <w:sz w:val="30"/>
          <w:szCs w:val="30"/>
          <w:highlight w:val="none"/>
          <w:u w:val="none"/>
          <w:lang w:val="en-US" w:eastAsia="zh-CN"/>
        </w:rPr>
        <w:t>十、机关运行经费支出情况说明</w:t>
      </w:r>
      <w:bookmarkEnd w:id="24"/>
    </w:p>
    <w:p w14:paraId="6A09DAA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南港工业区产业促进办公室2025年度机关运行经费年初预算382,200.00元，决算数371,515.43元，与年初预算相比减少10,684.57元，完成年初预算的97.20%；比2024年增加37,602.33元，增长11.26%。主要原因是：本年度从严管控一般性支出，优化公务活动，压减非刚性支出，因此决算数较年初预算数有所减少；在严控经费支出的基础上，因必要的工作安排，办公费、培训费相较去年有所增加。</w:t>
      </w:r>
    </w:p>
    <w:p w14:paraId="1507CC09">
      <w:pPr>
        <w:pStyle w:val="22"/>
        <w:spacing w:before="0" w:after="0" w:line="600" w:lineRule="exact"/>
        <w:ind w:firstLine="600" w:firstLineChars="200"/>
        <w:rPr>
          <w:rFonts w:hint="eastAsia" w:ascii="黑体" w:hAnsi="黑体" w:eastAsia="黑体" w:cs="方正仿宋_GB2312"/>
          <w:b w:val="0"/>
          <w:bCs/>
          <w:sz w:val="30"/>
          <w:szCs w:val="30"/>
          <w:highlight w:val="none"/>
          <w:u w:val="none"/>
          <w:lang w:val="en-US" w:eastAsia="zh-CN"/>
        </w:rPr>
      </w:pPr>
      <w:bookmarkStart w:id="25" w:name="_Toc3597"/>
      <w:r>
        <w:rPr>
          <w:rFonts w:hint="eastAsia" w:ascii="黑体" w:hAnsi="黑体" w:eastAsia="黑体" w:cs="方正仿宋_GB2312"/>
          <w:b w:val="0"/>
          <w:bCs/>
          <w:sz w:val="30"/>
          <w:szCs w:val="30"/>
          <w:highlight w:val="none"/>
          <w:u w:val="none"/>
          <w:lang w:val="en-US" w:eastAsia="zh-CN"/>
        </w:rPr>
        <w:t>十一、政府采购支出情况说明</w:t>
      </w:r>
      <w:bookmarkEnd w:id="25"/>
    </w:p>
    <w:p w14:paraId="123601D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政府采购支出总额4,975.00元，其中：政府采购货物支出4,975.00元、政府采购工程支出0.00元、政府采购服务支出0.00元。授予中小企业合同金额4,975.00元，占政府采购支出总额的100.00%，其中：授予小微企业合同金额4,975.00元，占政府采购支出总额的100.00%；货物采购授予中小企业合同金额占货物支出金额的100.00%，工程采购授予中小企业合同金额占工程支出金额的0.00%，服务采购授予中小企业合同金额占服务支出金额的0.00%。</w:t>
      </w:r>
    </w:p>
    <w:p w14:paraId="78E46537">
      <w:pPr>
        <w:pStyle w:val="22"/>
        <w:spacing w:before="0" w:after="0" w:line="600" w:lineRule="exact"/>
        <w:ind w:firstLine="600" w:firstLineChars="200"/>
        <w:rPr>
          <w:rFonts w:hint="eastAsia" w:ascii="黑体" w:hAnsi="黑体" w:eastAsia="黑体"/>
          <w:b w:val="0"/>
          <w:bCs/>
          <w:sz w:val="30"/>
          <w:szCs w:val="30"/>
          <w:highlight w:val="none"/>
        </w:rPr>
      </w:pPr>
      <w:bookmarkStart w:id="26" w:name="_Toc32039"/>
      <w:r>
        <w:rPr>
          <w:rFonts w:hint="eastAsia" w:ascii="黑体" w:hAnsi="黑体" w:eastAsia="黑体" w:cs="方正仿宋_GB2312"/>
          <w:b w:val="0"/>
          <w:bCs/>
          <w:sz w:val="30"/>
          <w:szCs w:val="30"/>
          <w:highlight w:val="none"/>
          <w:u w:val="none"/>
          <w:lang w:val="en-US" w:eastAsia="zh-CN"/>
        </w:rPr>
        <w:t>十二、国有资产占有使用情况说明</w:t>
      </w:r>
      <w:bookmarkEnd w:id="26"/>
    </w:p>
    <w:p w14:paraId="70BAD1F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天津经济技术开发区南港工业区产业促进办公室2025年度无国有资产占有使用情况。</w:t>
      </w:r>
    </w:p>
    <w:p w14:paraId="0130F630">
      <w:pPr>
        <w:pStyle w:val="22"/>
        <w:spacing w:before="0" w:after="0" w:line="600" w:lineRule="exact"/>
        <w:ind w:firstLine="600" w:firstLineChars="200"/>
        <w:rPr>
          <w:rFonts w:hint="eastAsia" w:ascii="黑体" w:hAnsi="黑体" w:eastAsia="黑体" w:cs="方正仿宋_GB2312"/>
          <w:b w:val="0"/>
          <w:bCs/>
          <w:sz w:val="30"/>
          <w:szCs w:val="30"/>
          <w:highlight w:val="none"/>
          <w:u w:val="none"/>
          <w:lang w:val="en-US" w:eastAsia="zh-CN"/>
        </w:rPr>
      </w:pPr>
      <w:bookmarkStart w:id="27" w:name="_Toc2201"/>
      <w:r>
        <w:rPr>
          <w:rFonts w:hint="eastAsia" w:ascii="黑体" w:hAnsi="黑体" w:eastAsia="黑体" w:cs="方正仿宋_GB2312"/>
          <w:b w:val="0"/>
          <w:bCs/>
          <w:sz w:val="30"/>
          <w:szCs w:val="30"/>
          <w:highlight w:val="none"/>
          <w:u w:val="none"/>
          <w:lang w:val="en-US" w:eastAsia="zh-CN"/>
        </w:rPr>
        <w:t>十三、预算绩效情况说明</w:t>
      </w:r>
      <w:bookmarkEnd w:id="27"/>
    </w:p>
    <w:p w14:paraId="5AD733B2">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根据预算绩效管理要求，天津经济技术开发区南港工业区产业促进办公室2025年度已对2个项目开展绩效自评，涉及金额1,380,000.00元，自评结果已随部门决算一并公开。</w:t>
      </w:r>
    </w:p>
    <w:p w14:paraId="5CE11F76">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1A65260E">
      <w:pPr>
        <w:pStyle w:val="22"/>
        <w:spacing w:before="0" w:after="0" w:line="600" w:lineRule="exact"/>
        <w:ind w:firstLine="600" w:firstLineChars="200"/>
        <w:rPr>
          <w:rFonts w:ascii="Times New Roman" w:hAnsi="Times New Roman" w:eastAsia="黑体"/>
          <w:b w:val="0"/>
          <w:bCs/>
          <w:sz w:val="30"/>
          <w:szCs w:val="30"/>
          <w:highlight w:val="none"/>
        </w:rPr>
      </w:pPr>
      <w:bookmarkStart w:id="28" w:name="_Toc10864"/>
      <w:r>
        <w:rPr>
          <w:rFonts w:hint="eastAsia" w:ascii="黑体" w:hAnsi="黑体" w:eastAsia="黑体" w:cs="方正仿宋_GB2312"/>
          <w:b w:val="0"/>
          <w:bCs/>
          <w:sz w:val="30"/>
          <w:szCs w:val="30"/>
          <w:highlight w:val="none"/>
          <w:u w:val="none"/>
          <w:lang w:val="en-US" w:eastAsia="zh-CN"/>
        </w:rPr>
        <w:t>十四、教育、医疗卫生、社会保障和就业、住房保障、涉农补贴等民生支出情况说明</w:t>
      </w:r>
      <w:bookmarkEnd w:id="28"/>
    </w:p>
    <w:p w14:paraId="3C0AFB17">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天津经济技术开发区南港工业区产业促进办公室不属于乡、镇、街级单位，不涉及公开2025年度教育、医疗卫生、社会保障和就业、住房保障、涉农补贴等民生支出情况。</w:t>
      </w:r>
    </w:p>
    <w:p w14:paraId="50601D69">
      <w:pPr>
        <w:pStyle w:val="23"/>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clear="none"/>
      </w:r>
    </w:p>
    <w:p w14:paraId="57306EB5">
      <w:pPr>
        <w:pStyle w:val="23"/>
        <w:spacing w:before="0" w:after="0" w:line="600" w:lineRule="exact"/>
        <w:jc w:val="center"/>
        <w:rPr>
          <w:rFonts w:ascii="方正小标宋简体" w:hAnsi="方正小标宋简体" w:eastAsia="方正小标宋简体" w:cs="方正小标宋简体"/>
          <w:b w:val="0"/>
          <w:sz w:val="44"/>
          <w:szCs w:val="44"/>
          <w:highlight w:val="none"/>
        </w:rPr>
      </w:pPr>
      <w:bookmarkStart w:id="29" w:name="_Toc19733"/>
      <w:r>
        <w:rPr>
          <w:rFonts w:hint="eastAsia" w:ascii="方正小标宋简体" w:hAnsi="方正小标宋简体" w:eastAsia="方正小标宋简体" w:cs="方正小标宋简体"/>
          <w:b w:val="0"/>
          <w:lang w:val="en-US" w:eastAsia="zh-CN"/>
        </w:rPr>
        <w:t>第四部分  名词解释</w:t>
      </w:r>
      <w:bookmarkEnd w:id="29"/>
    </w:p>
    <w:p w14:paraId="11082CA2">
      <w:pPr>
        <w:pStyle w:val="23"/>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08F27B5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0E6512C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09051C8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p w14:paraId="50176757">
      <w:pPr>
        <w:spacing w:line="600" w:lineRule="exact"/>
        <w:rPr>
          <w:rFonts w:hint="eastAsia" w:ascii="仿宋_GB2312" w:hAnsi="仿宋_GB2312" w:eastAsia="仿宋_GB2312" w:cs="仿宋_GB2312"/>
          <w:sz w:val="32"/>
          <w:szCs w:val="32"/>
          <w:lang w:val="en-US" w:eastAsia="zh-CN"/>
        </w:rPr>
      </w:pPr>
      <w:r>
        <w:rPr>
          <w:rFonts w:eastAsia="仿宋_GB2312"/>
          <w:sz w:val="30"/>
          <w:szCs w:val="30"/>
          <w:highlight w:val="none"/>
          <w:lang w:val="en-US" w:eastAsia="zh-CN"/>
        </w:rPr>
        <w:t xml:space="preserve">    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14025F65">
      <w:pPr>
        <w:spacing w:line="600" w:lineRule="exact"/>
        <w:rPr>
          <w:rFonts w:hint="eastAsia" w:ascii="仿宋_GB2312" w:hAnsi="仿宋_GB2312" w:eastAsia="仿宋_GB2312" w:cs="仿宋_GB2312"/>
          <w:sz w:val="32"/>
          <w:szCs w:val="32"/>
          <w:lang w:val="en-US" w:eastAsia="zh-CN"/>
        </w:rPr>
      </w:pPr>
      <w:r>
        <w:rPr>
          <w:rFonts w:eastAsia="仿宋_GB2312"/>
          <w:sz w:val="30"/>
          <w:szCs w:val="30"/>
          <w:highlight w:val="none"/>
          <w:lang w:val="en-US" w:eastAsia="zh-CN"/>
        </w:rPr>
        <w:t xml:space="preserve">    2.机关运行经费。反映为保障行政单位（含参照公务员管理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E4D996A">
      <w:pPr>
        <w:spacing w:line="600" w:lineRule="exact"/>
        <w:rPr>
          <w:rFonts w:hint="eastAsia" w:ascii="仿宋_GB2312" w:hAnsi="仿宋_GB2312" w:eastAsia="仿宋_GB2312" w:cs="仿宋_GB2312"/>
          <w:sz w:val="32"/>
          <w:szCs w:val="32"/>
          <w:lang w:val="en-US" w:eastAsia="zh-CN"/>
        </w:rPr>
      </w:pPr>
      <w:r>
        <w:rPr>
          <w:rFonts w:eastAsia="仿宋_GB2312"/>
          <w:sz w:val="30"/>
          <w:szCs w:val="30"/>
          <w:highlight w:val="none"/>
          <w:lang w:val="en-US" w:eastAsia="zh-CN"/>
        </w:rPr>
        <w:t xml:space="preserve">    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燃料费、维修费、过桥过路费、保险费、安全奖励费用等支出；公务接待费反映单位按规定开支的各类公务接待（含外宾接待）支出。</w:t>
      </w:r>
    </w:p>
    <w:p w14:paraId="21D2AA5D">
      <w:pPr>
        <w:spacing w:line="600" w:lineRule="exact"/>
        <w:ind w:firstLine="600" w:firstLineChars="200"/>
        <w:rPr>
          <w:rFonts w:hint="eastAsia" w:eastAsia="仿宋_GB2312"/>
          <w:sz w:val="30"/>
          <w:szCs w:val="30"/>
          <w:highlight w:val="none"/>
        </w:rPr>
      </w:pPr>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83499C-E95E-45B2-8036-AB34AC6E7C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A32071D-300D-4276-B6B9-3933FE9BD465}"/>
  </w:font>
  <w:font w:name="楷体">
    <w:panose1 w:val="02010609060101010101"/>
    <w:charset w:val="86"/>
    <w:family w:val="modern"/>
    <w:pitch w:val="default"/>
    <w:sig w:usb0="800002BF" w:usb1="38CF7CFA" w:usb2="00000016" w:usb3="00000000" w:csb0="00040001" w:csb1="00000000"/>
    <w:embedRegular r:id="rId3" w:fontKey="{5DA0BC0B-1D67-42DD-8E58-D7A59004B964}"/>
  </w:font>
  <w:font w:name="仿宋_GB2312">
    <w:panose1 w:val="02010609030101010101"/>
    <w:charset w:val="86"/>
    <w:family w:val="modern"/>
    <w:pitch w:val="default"/>
    <w:sig w:usb0="00000001" w:usb1="080E0000" w:usb2="00000000" w:usb3="00000000" w:csb0="00040000" w:csb1="00000000"/>
    <w:embedRegular r:id="rId4" w:fontKey="{4AB6644B-315C-48F8-86C8-9BF2A0A78B98}"/>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5" w:fontKey="{C9755AF7-59EC-4A83-B0F4-15B86FD230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712E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364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3E1F53">
                          <w:pPr>
                            <w:snapToGrid w:val="0"/>
                            <w:rPr>
                              <w:rFonts w:hint="eastAsia"/>
                              <w:szCs w:val="24"/>
                            </w:rPr>
                          </w:pPr>
                          <w:r>
                            <w:rPr>
                              <w:rFonts w:hint="eastAsia"/>
                              <w:szCs w:val="24"/>
                            </w:rPr>
                            <w:fldChar w:fldCharType="begin"/>
                          </w:r>
                          <w:r>
                            <w:rPr>
                              <w:rFonts w:hint="eastAsia"/>
                              <w:szCs w:val="24"/>
                            </w:rPr>
                            <w:instrText xml:space="preserve"> PAGE  \* MERGEFORMAT </w:instrText>
                          </w:r>
                          <w:r>
                            <w:rPr>
                              <w:rFonts w:hint="eastAsia"/>
                              <w:szCs w:val="24"/>
                            </w:rPr>
                            <w:fldChar w:fldCharType="separate"/>
                          </w:r>
                          <w:r>
                            <w:rPr>
                              <w:szCs w:val="24"/>
                            </w:rPr>
                            <w:t>13</w:t>
                          </w:r>
                          <w:r>
                            <w:rPr>
                              <w:rFonts w:hint="eastAsia"/>
                              <w:szCs w:val="24"/>
                            </w:rPr>
                            <w:fldChar w:fldCharType="end"/>
                          </w:r>
                        </w:p>
                      </w:txbxContent>
                    </wps:txbx>
                    <wps:bodyPr vert="horz" wrap="none" lIns="0" tIns="0" rIns="0" bIns="0" anchor="t" anchorCtr="0" upright="0">
                      <a:spAutoFit/>
                    </wps:bodyPr>
                  </wps:wsp>
                </a:graphicData>
              </a:graphic>
            </wp:anchor>
          </w:drawing>
        </mc:Choice>
        <mc:Fallback>
          <w:pict>
            <v:shape id="文本框 103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VIBsjpAQAAzAMAAA4AAABkcnMvZTJvRG9jLnhtbK1TzY7TMBC+&#10;I/EOlu80adE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S1uwooSywxO/Pzzx/nX&#10;n/Pv72RZvrxOEvU+1Bh55zE2Dm/cgOHzfcDLxHyQYNIfORH0o8Cni8BiiISnpGpVVSW6OPrmA+IX&#10;D+keQnwnnCHJaCjgBLOw7PghxDF0DknVrLtVWucpakt6RL2qXl3l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lSAbI&#10;6QEAAMwDAAAOAAAAAAAAAAEAIAAAACIBAABkcnMvZTJvRG9jLnhtbFBLBQYAAAAABgAGAFkBAAB9&#10;BQAAAAA=&#10;">
              <v:fill on="f" focussize="0,0"/>
              <v:stroke on="f" weight="1.25pt"/>
              <v:imagedata o:title=""/>
              <o:lock v:ext="edit" aspectratio="f"/>
              <v:textbox inset="0mm,0mm,0mm,0mm" style="mso-fit-shape-to-text:t;">
                <w:txbxContent>
                  <w:p w14:paraId="223E1F53">
                    <w:pPr>
                      <w:snapToGrid w:val="0"/>
                      <w:rPr>
                        <w:rFonts w:hint="eastAsia"/>
                        <w:szCs w:val="24"/>
                      </w:rPr>
                    </w:pPr>
                    <w:r>
                      <w:rPr>
                        <w:rFonts w:hint="eastAsia"/>
                        <w:szCs w:val="24"/>
                      </w:rPr>
                      <w:fldChar w:fldCharType="begin"/>
                    </w:r>
                    <w:r>
                      <w:rPr>
                        <w:rFonts w:hint="eastAsia"/>
                        <w:szCs w:val="24"/>
                      </w:rPr>
                      <w:instrText xml:space="preserve"> PAGE  \* MERGEFORMAT </w:instrText>
                    </w:r>
                    <w:r>
                      <w:rPr>
                        <w:rFonts w:hint="eastAsia"/>
                        <w:szCs w:val="24"/>
                      </w:rPr>
                      <w:fldChar w:fldCharType="separate"/>
                    </w:r>
                    <w:r>
                      <w:rPr>
                        <w:szCs w:val="24"/>
                      </w:rPr>
                      <w:t>13</w:t>
                    </w:r>
                    <w:r>
                      <w:rPr>
                        <w:rFonts w:hint="eastAsia"/>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9635C">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7A5471E">
                          <w:pPr>
                            <w:pStyle w:val="21"/>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haB3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cE2JZQYnfv718/z7&#10;7/nPD4I+FKj3UGPevcfMOHx0AybPfkBn4j3IYNIXGRGMo7yni7xiiISnR9WqqkoMcYzNF8QvHp/7&#10;APFOOEOS0dCA88uysuNniGPqnJKqWXertM4z1Jb0iUT1/jq/uIQQXVsskliM3SYrDrthorZz7QmZ&#10;9bgEDbW485ToTxY1TvsyG2E2drNx8EHtO2xymeuB/3CI2E7uMlUYYafCOL3Mc9q0tB5P7znr8e/a&#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FoHdIBAAClAwAADgAAAAAAAAABACAAAAAi&#10;AQAAZHJzL2Uyb0RvYy54bWxQSwUGAAAAAAYABgBZAQAAZgUAAAAA&#10;">
              <v:fill on="f" focussize="0,0"/>
              <v:stroke on="f" weight="1.25pt"/>
              <v:imagedata o:title=""/>
              <o:lock v:ext="edit" aspectratio="f"/>
              <v:textbox inset="0mm,0mm,0mm,0mm" style="mso-fit-shape-to-text:t;">
                <w:txbxContent>
                  <w:p w14:paraId="57A5471E">
                    <w:pPr>
                      <w:pStyle w:val="21"/>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1AE10">
    <w:pPr>
      <w:pStyle w:val="2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90B31C">
                          <w:pPr>
                            <w:pStyle w:val="21"/>
                          </w:pPr>
                          <w:r>
                            <w:fldChar w:fldCharType="begin"/>
                          </w:r>
                          <w:r>
                            <w:instrText xml:space="preserve"> PAGE  \* MERGEFORMAT </w:instrText>
                          </w:r>
                          <w:r>
                            <w:fldChar w:fldCharType="separate"/>
                          </w:r>
                          <w:r>
                            <w:t>7</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DlX+/3TAQAApQMAAA4AAAAAAAAAAQAgAAAA&#10;IgEAAGRycy9lMm9Eb2MueG1sUEsFBgAAAAAGAAYAWQEAAGcFAAAAAA==&#10;">
              <v:fill on="f" focussize="0,0"/>
              <v:stroke on="f" weight="1.25pt"/>
              <v:imagedata o:title=""/>
              <o:lock v:ext="edit" aspectratio="f"/>
              <v:textbox inset="0mm,0mm,0mm,0mm" style="mso-fit-shape-to-text:t;">
                <w:txbxContent>
                  <w:p w14:paraId="3C90B31C">
                    <w:pPr>
                      <w:pStyle w:val="2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0FB0">
    <w:pPr>
      <w:pStyle w:val="2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7240FF7">
                          <w:pPr>
                            <w:pStyle w:val="21"/>
                          </w:pPr>
                          <w:r>
                            <w:fldChar w:fldCharType="begin"/>
                          </w:r>
                          <w:r>
                            <w:instrText xml:space="preserve"> PAGE  \* MERGEFORMAT </w:instrText>
                          </w:r>
                          <w:r>
                            <w:fldChar w:fldCharType="separate"/>
                          </w:r>
                          <w:r>
                            <w:t>18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8refTAQAApQMAAA4AAAAAAAAAAQAgAAAA&#10;IgEAAGRycy9lMm9Eb2MueG1sUEsFBgAAAAAGAAYAWQEAAGcFAAAAAA==&#10;">
              <v:fill on="f" focussize="0,0"/>
              <v:stroke on="f" weight="1.25pt"/>
              <v:imagedata o:title=""/>
              <o:lock v:ext="edit" aspectratio="f"/>
              <v:textbox inset="0mm,0mm,0mm,0mm" style="mso-fit-shape-to-text:t;">
                <w:txbxContent>
                  <w:p w14:paraId="37240FF7">
                    <w:pPr>
                      <w:pStyle w:val="21"/>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9AE2">
    <w:pPr>
      <w:pStyle w:val="2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38EF1C9">
                          <w:pPr>
                            <w:pStyle w:val="21"/>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FKKPgfTAQAApQMAAA4AAAAAAAAAAQAgAAAA&#10;IgEAAGRycy9lMm9Eb2MueG1sUEsFBgAAAAAGAAYAWQEAAGcFAAAAAA==&#10;">
              <v:path/>
              <v:fill on="f" focussize="0,0"/>
              <v:stroke on="f" weight="1.25pt"/>
              <v:imagedata o:title=""/>
              <o:lock v:ext="edit" aspectratio="f"/>
              <v:textbox inset="0mm,0mm,0mm,0mm" style="mso-fit-shape-to-text:t;">
                <w:txbxContent>
                  <w:p w14:paraId="238EF1C9">
                    <w:pPr>
                      <w:pStyle w:val="2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172A27"/>
    <w:rsid w:val="00015911"/>
    <w:rsid w:val="00046E1C"/>
    <w:rsid w:val="00053901"/>
    <w:rsid w:val="000864BF"/>
    <w:rsid w:val="00092AB8"/>
    <w:rsid w:val="000B4E39"/>
    <w:rsid w:val="00112C55"/>
    <w:rsid w:val="001179AF"/>
    <w:rsid w:val="0012059C"/>
    <w:rsid w:val="00124993"/>
    <w:rsid w:val="0012531C"/>
    <w:rsid w:val="00126E2D"/>
    <w:rsid w:val="001829A0"/>
    <w:rsid w:val="00186ED8"/>
    <w:rsid w:val="001F61CD"/>
    <w:rsid w:val="00241712"/>
    <w:rsid w:val="002532F7"/>
    <w:rsid w:val="002566ED"/>
    <w:rsid w:val="00257643"/>
    <w:rsid w:val="002912A7"/>
    <w:rsid w:val="002D2BBE"/>
    <w:rsid w:val="002E091E"/>
    <w:rsid w:val="002F00A9"/>
    <w:rsid w:val="003365DD"/>
    <w:rsid w:val="003714D5"/>
    <w:rsid w:val="00381206"/>
    <w:rsid w:val="0038216E"/>
    <w:rsid w:val="003942CD"/>
    <w:rsid w:val="003A4529"/>
    <w:rsid w:val="004040D1"/>
    <w:rsid w:val="00432D37"/>
    <w:rsid w:val="00464079"/>
    <w:rsid w:val="00465602"/>
    <w:rsid w:val="004918AD"/>
    <w:rsid w:val="004A1361"/>
    <w:rsid w:val="0050332F"/>
    <w:rsid w:val="00532C4C"/>
    <w:rsid w:val="00570354"/>
    <w:rsid w:val="005B60DB"/>
    <w:rsid w:val="005C22AF"/>
    <w:rsid w:val="005F2510"/>
    <w:rsid w:val="00676A5E"/>
    <w:rsid w:val="006A54BF"/>
    <w:rsid w:val="006D05B2"/>
    <w:rsid w:val="00727434"/>
    <w:rsid w:val="00734D29"/>
    <w:rsid w:val="0077787E"/>
    <w:rsid w:val="0079348B"/>
    <w:rsid w:val="007A3491"/>
    <w:rsid w:val="007B4B58"/>
    <w:rsid w:val="007F3679"/>
    <w:rsid w:val="007F448B"/>
    <w:rsid w:val="007F718E"/>
    <w:rsid w:val="00801B2B"/>
    <w:rsid w:val="00803B43"/>
    <w:rsid w:val="00817AE2"/>
    <w:rsid w:val="0085671E"/>
    <w:rsid w:val="00876FA4"/>
    <w:rsid w:val="00893EAC"/>
    <w:rsid w:val="008A6092"/>
    <w:rsid w:val="008C3474"/>
    <w:rsid w:val="008C677C"/>
    <w:rsid w:val="008D2605"/>
    <w:rsid w:val="008D64CE"/>
    <w:rsid w:val="009142B8"/>
    <w:rsid w:val="00915276"/>
    <w:rsid w:val="00936468"/>
    <w:rsid w:val="009371C3"/>
    <w:rsid w:val="0098387F"/>
    <w:rsid w:val="009E0EF5"/>
    <w:rsid w:val="009F18E1"/>
    <w:rsid w:val="009F712F"/>
    <w:rsid w:val="00A12C57"/>
    <w:rsid w:val="00A557F8"/>
    <w:rsid w:val="00AA676A"/>
    <w:rsid w:val="00B13870"/>
    <w:rsid w:val="00B14558"/>
    <w:rsid w:val="00B17258"/>
    <w:rsid w:val="00B210F5"/>
    <w:rsid w:val="00B53416"/>
    <w:rsid w:val="00B807AE"/>
    <w:rsid w:val="00BA3182"/>
    <w:rsid w:val="00BB0047"/>
    <w:rsid w:val="00BB051A"/>
    <w:rsid w:val="00BD343E"/>
    <w:rsid w:val="00BE682B"/>
    <w:rsid w:val="00C0672E"/>
    <w:rsid w:val="00C33362"/>
    <w:rsid w:val="00C47864"/>
    <w:rsid w:val="00C528B3"/>
    <w:rsid w:val="00C52B2B"/>
    <w:rsid w:val="00C53602"/>
    <w:rsid w:val="00C77332"/>
    <w:rsid w:val="00C83F29"/>
    <w:rsid w:val="00CA5CD5"/>
    <w:rsid w:val="00CE4C80"/>
    <w:rsid w:val="00CE7A0E"/>
    <w:rsid w:val="00CF0671"/>
    <w:rsid w:val="00CF4ADE"/>
    <w:rsid w:val="00D20562"/>
    <w:rsid w:val="00D56FBF"/>
    <w:rsid w:val="00DA3A83"/>
    <w:rsid w:val="00DB0D2B"/>
    <w:rsid w:val="00DC0D31"/>
    <w:rsid w:val="00E21DD7"/>
    <w:rsid w:val="00E4337C"/>
    <w:rsid w:val="00E56EBF"/>
    <w:rsid w:val="00E56F06"/>
    <w:rsid w:val="00E576CC"/>
    <w:rsid w:val="00E8795B"/>
    <w:rsid w:val="00EB277E"/>
    <w:rsid w:val="00EB7B3B"/>
    <w:rsid w:val="00F14DB8"/>
    <w:rsid w:val="00F3454D"/>
    <w:rsid w:val="00F3737B"/>
    <w:rsid w:val="00F6315A"/>
    <w:rsid w:val="00FF6CDB"/>
    <w:rsid w:val="01582EB3"/>
    <w:rsid w:val="01D92F4B"/>
    <w:rsid w:val="021D09AE"/>
    <w:rsid w:val="02317CA1"/>
    <w:rsid w:val="02C26D17"/>
    <w:rsid w:val="02ED0C76"/>
    <w:rsid w:val="032B2B72"/>
    <w:rsid w:val="03633F1C"/>
    <w:rsid w:val="03877CF5"/>
    <w:rsid w:val="03971CD2"/>
    <w:rsid w:val="03A73B20"/>
    <w:rsid w:val="04D27C6A"/>
    <w:rsid w:val="04DA6E85"/>
    <w:rsid w:val="054E0E8D"/>
    <w:rsid w:val="059D199E"/>
    <w:rsid w:val="065A73D7"/>
    <w:rsid w:val="068D56CD"/>
    <w:rsid w:val="068F1656"/>
    <w:rsid w:val="06CE3C39"/>
    <w:rsid w:val="070745F4"/>
    <w:rsid w:val="0750320D"/>
    <w:rsid w:val="080C427F"/>
    <w:rsid w:val="08496DC5"/>
    <w:rsid w:val="08601190"/>
    <w:rsid w:val="08610C17"/>
    <w:rsid w:val="08AB76E6"/>
    <w:rsid w:val="08B17C7F"/>
    <w:rsid w:val="09794F69"/>
    <w:rsid w:val="09965884"/>
    <w:rsid w:val="09BC7107"/>
    <w:rsid w:val="09C86481"/>
    <w:rsid w:val="09CD6F6A"/>
    <w:rsid w:val="0ABD2EA9"/>
    <w:rsid w:val="0AF02B7A"/>
    <w:rsid w:val="0B0C0657"/>
    <w:rsid w:val="0B2F7E6E"/>
    <w:rsid w:val="0B6B3C0A"/>
    <w:rsid w:val="0B7057C8"/>
    <w:rsid w:val="0BF51CAC"/>
    <w:rsid w:val="0C327E5C"/>
    <w:rsid w:val="0D66464C"/>
    <w:rsid w:val="0D9E0EC3"/>
    <w:rsid w:val="0DCA24E7"/>
    <w:rsid w:val="0E1905E8"/>
    <w:rsid w:val="0E3D2D31"/>
    <w:rsid w:val="0E6B081A"/>
    <w:rsid w:val="0E812A35"/>
    <w:rsid w:val="0EE32072"/>
    <w:rsid w:val="0F3A7BBE"/>
    <w:rsid w:val="0FB146BC"/>
    <w:rsid w:val="10D0376E"/>
    <w:rsid w:val="11D75F2F"/>
    <w:rsid w:val="11D802DB"/>
    <w:rsid w:val="121401BA"/>
    <w:rsid w:val="122B009F"/>
    <w:rsid w:val="135D03D9"/>
    <w:rsid w:val="13A17616"/>
    <w:rsid w:val="149264E6"/>
    <w:rsid w:val="14F31DE2"/>
    <w:rsid w:val="15127621"/>
    <w:rsid w:val="156A2C3E"/>
    <w:rsid w:val="157A3189"/>
    <w:rsid w:val="15E37C52"/>
    <w:rsid w:val="169221B4"/>
    <w:rsid w:val="1693587A"/>
    <w:rsid w:val="16EA0A1B"/>
    <w:rsid w:val="176B7CE6"/>
    <w:rsid w:val="181D0AF6"/>
    <w:rsid w:val="18602A8A"/>
    <w:rsid w:val="18E12A26"/>
    <w:rsid w:val="1A2F34CF"/>
    <w:rsid w:val="1AEF4D78"/>
    <w:rsid w:val="1B0B6786"/>
    <w:rsid w:val="1C2E1750"/>
    <w:rsid w:val="1C8A5079"/>
    <w:rsid w:val="1D520C3E"/>
    <w:rsid w:val="1DA340AC"/>
    <w:rsid w:val="1E2F4E67"/>
    <w:rsid w:val="1E506972"/>
    <w:rsid w:val="1E8146FC"/>
    <w:rsid w:val="1EC8639D"/>
    <w:rsid w:val="1EC97805"/>
    <w:rsid w:val="1EFB07B0"/>
    <w:rsid w:val="1F6101B7"/>
    <w:rsid w:val="1FABD71D"/>
    <w:rsid w:val="20505929"/>
    <w:rsid w:val="2093268B"/>
    <w:rsid w:val="21AF14B6"/>
    <w:rsid w:val="22831499"/>
    <w:rsid w:val="228770CD"/>
    <w:rsid w:val="22E4179B"/>
    <w:rsid w:val="236906A5"/>
    <w:rsid w:val="23AA7995"/>
    <w:rsid w:val="23BA0D09"/>
    <w:rsid w:val="24BA0C0F"/>
    <w:rsid w:val="25556D82"/>
    <w:rsid w:val="259F5563"/>
    <w:rsid w:val="25AD749C"/>
    <w:rsid w:val="25AE4162"/>
    <w:rsid w:val="261B2634"/>
    <w:rsid w:val="26872640"/>
    <w:rsid w:val="26C653DA"/>
    <w:rsid w:val="26EC5D21"/>
    <w:rsid w:val="27615821"/>
    <w:rsid w:val="277EF1C7"/>
    <w:rsid w:val="27A13E6E"/>
    <w:rsid w:val="28863E70"/>
    <w:rsid w:val="288A6337"/>
    <w:rsid w:val="28994B2A"/>
    <w:rsid w:val="28CD1B01"/>
    <w:rsid w:val="290441D9"/>
    <w:rsid w:val="292E4395"/>
    <w:rsid w:val="29867FF5"/>
    <w:rsid w:val="299654ED"/>
    <w:rsid w:val="29D72E63"/>
    <w:rsid w:val="29F01BC9"/>
    <w:rsid w:val="2A1248CB"/>
    <w:rsid w:val="2A24302B"/>
    <w:rsid w:val="2A7456B8"/>
    <w:rsid w:val="2AA96805"/>
    <w:rsid w:val="2B546E8B"/>
    <w:rsid w:val="2BBA3DC7"/>
    <w:rsid w:val="2CA270C4"/>
    <w:rsid w:val="2CB024EC"/>
    <w:rsid w:val="2CE61692"/>
    <w:rsid w:val="2D2B1A30"/>
    <w:rsid w:val="2D5BB7F4"/>
    <w:rsid w:val="2DA87FE3"/>
    <w:rsid w:val="2DAA05D8"/>
    <w:rsid w:val="2DAB1C1C"/>
    <w:rsid w:val="2E276696"/>
    <w:rsid w:val="2E6455AA"/>
    <w:rsid w:val="2E6E5875"/>
    <w:rsid w:val="2EAA1E45"/>
    <w:rsid w:val="2EBA2F30"/>
    <w:rsid w:val="2F8573F4"/>
    <w:rsid w:val="2F981A27"/>
    <w:rsid w:val="2FFD4B55"/>
    <w:rsid w:val="30991A6F"/>
    <w:rsid w:val="3112096E"/>
    <w:rsid w:val="31F32BCC"/>
    <w:rsid w:val="322D5537"/>
    <w:rsid w:val="32500429"/>
    <w:rsid w:val="32B00783"/>
    <w:rsid w:val="33987EA4"/>
    <w:rsid w:val="33C95B04"/>
    <w:rsid w:val="33E55770"/>
    <w:rsid w:val="343041E9"/>
    <w:rsid w:val="343E2C5A"/>
    <w:rsid w:val="34790D04"/>
    <w:rsid w:val="34E404B6"/>
    <w:rsid w:val="353874A5"/>
    <w:rsid w:val="356C4B0F"/>
    <w:rsid w:val="357756D0"/>
    <w:rsid w:val="35971107"/>
    <w:rsid w:val="35F83418"/>
    <w:rsid w:val="36433E0B"/>
    <w:rsid w:val="3685618C"/>
    <w:rsid w:val="36DF7E92"/>
    <w:rsid w:val="37210A48"/>
    <w:rsid w:val="37C605ED"/>
    <w:rsid w:val="37EC07D4"/>
    <w:rsid w:val="39054161"/>
    <w:rsid w:val="395157DA"/>
    <w:rsid w:val="39D81DB4"/>
    <w:rsid w:val="39DD1F63"/>
    <w:rsid w:val="3A875795"/>
    <w:rsid w:val="3B172821"/>
    <w:rsid w:val="3B3A6848"/>
    <w:rsid w:val="3C7702D9"/>
    <w:rsid w:val="3C822FFF"/>
    <w:rsid w:val="3C987755"/>
    <w:rsid w:val="3D1712DB"/>
    <w:rsid w:val="3D6E4CFB"/>
    <w:rsid w:val="3DB948D9"/>
    <w:rsid w:val="3DED19CC"/>
    <w:rsid w:val="3E551C1D"/>
    <w:rsid w:val="3EAA16DD"/>
    <w:rsid w:val="3EE7006C"/>
    <w:rsid w:val="3F043070"/>
    <w:rsid w:val="3F397145"/>
    <w:rsid w:val="40AA503C"/>
    <w:rsid w:val="419141BF"/>
    <w:rsid w:val="41C01A6A"/>
    <w:rsid w:val="41C515FE"/>
    <w:rsid w:val="42C52D12"/>
    <w:rsid w:val="42EA0B90"/>
    <w:rsid w:val="436E1D48"/>
    <w:rsid w:val="442221E6"/>
    <w:rsid w:val="44FC0AD9"/>
    <w:rsid w:val="45C66F5A"/>
    <w:rsid w:val="464311BD"/>
    <w:rsid w:val="46762869"/>
    <w:rsid w:val="46800ECA"/>
    <w:rsid w:val="46C0784B"/>
    <w:rsid w:val="46D65DFF"/>
    <w:rsid w:val="46ED43C8"/>
    <w:rsid w:val="47655748"/>
    <w:rsid w:val="481F5D29"/>
    <w:rsid w:val="485B08F6"/>
    <w:rsid w:val="48E65506"/>
    <w:rsid w:val="49A95325"/>
    <w:rsid w:val="49C60D15"/>
    <w:rsid w:val="4AF80394"/>
    <w:rsid w:val="4C72500A"/>
    <w:rsid w:val="4E470451"/>
    <w:rsid w:val="4E5A4E46"/>
    <w:rsid w:val="4E776E4B"/>
    <w:rsid w:val="4EBE5040"/>
    <w:rsid w:val="4EC635D4"/>
    <w:rsid w:val="4EF42DDE"/>
    <w:rsid w:val="4F021DFD"/>
    <w:rsid w:val="4FA93361"/>
    <w:rsid w:val="50491464"/>
    <w:rsid w:val="50C21542"/>
    <w:rsid w:val="50EB4351"/>
    <w:rsid w:val="516E5D30"/>
    <w:rsid w:val="519A61B8"/>
    <w:rsid w:val="529328AD"/>
    <w:rsid w:val="52A26688"/>
    <w:rsid w:val="52BA0808"/>
    <w:rsid w:val="52C3106D"/>
    <w:rsid w:val="52C85E60"/>
    <w:rsid w:val="532D1C0A"/>
    <w:rsid w:val="53583E88"/>
    <w:rsid w:val="53E31044"/>
    <w:rsid w:val="54694217"/>
    <w:rsid w:val="54D72BF4"/>
    <w:rsid w:val="54F6709D"/>
    <w:rsid w:val="566138B1"/>
    <w:rsid w:val="56F540E8"/>
    <w:rsid w:val="57814C22"/>
    <w:rsid w:val="579303E0"/>
    <w:rsid w:val="57BD125F"/>
    <w:rsid w:val="59005937"/>
    <w:rsid w:val="596804E1"/>
    <w:rsid w:val="596D5572"/>
    <w:rsid w:val="5A106A61"/>
    <w:rsid w:val="5AF841C1"/>
    <w:rsid w:val="5B012DD6"/>
    <w:rsid w:val="5B4A303E"/>
    <w:rsid w:val="5B867F38"/>
    <w:rsid w:val="5BBF1EDC"/>
    <w:rsid w:val="5C0D5EDF"/>
    <w:rsid w:val="5C3D0495"/>
    <w:rsid w:val="5CCB520D"/>
    <w:rsid w:val="5CDE5F6B"/>
    <w:rsid w:val="5CE729B2"/>
    <w:rsid w:val="5D072615"/>
    <w:rsid w:val="5D820B03"/>
    <w:rsid w:val="5DDC291B"/>
    <w:rsid w:val="5DE919D2"/>
    <w:rsid w:val="5DE96BF2"/>
    <w:rsid w:val="5E3B56D9"/>
    <w:rsid w:val="5E7F01AB"/>
    <w:rsid w:val="5E910416"/>
    <w:rsid w:val="5F615490"/>
    <w:rsid w:val="5FC652D8"/>
    <w:rsid w:val="6043407E"/>
    <w:rsid w:val="605F74B4"/>
    <w:rsid w:val="607B68FE"/>
    <w:rsid w:val="617007B5"/>
    <w:rsid w:val="61E56E86"/>
    <w:rsid w:val="621870FC"/>
    <w:rsid w:val="62CB56AD"/>
    <w:rsid w:val="62DA2A3D"/>
    <w:rsid w:val="637B3A8F"/>
    <w:rsid w:val="63A65E89"/>
    <w:rsid w:val="64CB2524"/>
    <w:rsid w:val="656453FF"/>
    <w:rsid w:val="65737FA2"/>
    <w:rsid w:val="65C02263"/>
    <w:rsid w:val="65D920E1"/>
    <w:rsid w:val="65D95650"/>
    <w:rsid w:val="65D9655D"/>
    <w:rsid w:val="6656630C"/>
    <w:rsid w:val="66EC0C69"/>
    <w:rsid w:val="6776B9B8"/>
    <w:rsid w:val="67AD24B8"/>
    <w:rsid w:val="67F5DAB5"/>
    <w:rsid w:val="68261741"/>
    <w:rsid w:val="68B41451"/>
    <w:rsid w:val="693E2FAD"/>
    <w:rsid w:val="698062FC"/>
    <w:rsid w:val="69BD5EE8"/>
    <w:rsid w:val="6A740B43"/>
    <w:rsid w:val="6ABD46BF"/>
    <w:rsid w:val="6AF730BD"/>
    <w:rsid w:val="6B617BE2"/>
    <w:rsid w:val="6BA66029"/>
    <w:rsid w:val="6CA041B2"/>
    <w:rsid w:val="6CE11BF2"/>
    <w:rsid w:val="6DDD5EBF"/>
    <w:rsid w:val="6E2E2D6D"/>
    <w:rsid w:val="6E460B96"/>
    <w:rsid w:val="6EA82131"/>
    <w:rsid w:val="6F046708"/>
    <w:rsid w:val="6F631218"/>
    <w:rsid w:val="6FB410D2"/>
    <w:rsid w:val="6FC54BEF"/>
    <w:rsid w:val="706921FA"/>
    <w:rsid w:val="70B22C23"/>
    <w:rsid w:val="70E10FA1"/>
    <w:rsid w:val="71411B5D"/>
    <w:rsid w:val="719931E1"/>
    <w:rsid w:val="7240055A"/>
    <w:rsid w:val="728E0BA0"/>
    <w:rsid w:val="72EA0D4A"/>
    <w:rsid w:val="736064A7"/>
    <w:rsid w:val="73F71039"/>
    <w:rsid w:val="73F91498"/>
    <w:rsid w:val="74D975E2"/>
    <w:rsid w:val="756B7D6A"/>
    <w:rsid w:val="757C417D"/>
    <w:rsid w:val="759455DB"/>
    <w:rsid w:val="75D160D9"/>
    <w:rsid w:val="75E75FC4"/>
    <w:rsid w:val="762914BB"/>
    <w:rsid w:val="773A73AB"/>
    <w:rsid w:val="775767BB"/>
    <w:rsid w:val="7779068F"/>
    <w:rsid w:val="77B92148"/>
    <w:rsid w:val="77FFE39F"/>
    <w:rsid w:val="781B1736"/>
    <w:rsid w:val="78F051A8"/>
    <w:rsid w:val="79626B52"/>
    <w:rsid w:val="79EF18A6"/>
    <w:rsid w:val="7A903B21"/>
    <w:rsid w:val="7C646F9B"/>
    <w:rsid w:val="7CF2196B"/>
    <w:rsid w:val="7D2E7430"/>
    <w:rsid w:val="7D9A013D"/>
    <w:rsid w:val="7E9160CF"/>
    <w:rsid w:val="7EC635B1"/>
    <w:rsid w:val="7EC677D3"/>
    <w:rsid w:val="7FDC2489"/>
    <w:rsid w:val="7FEF8B84"/>
    <w:rsid w:val="7FFDEEFD"/>
    <w:rsid w:val="9DFF1D15"/>
    <w:rsid w:val="A6F7D0F4"/>
    <w:rsid w:val="A7CFD1E7"/>
    <w:rsid w:val="AFE62F66"/>
    <w:rsid w:val="BB65E983"/>
    <w:rsid w:val="D74FDF30"/>
    <w:rsid w:val="DEAEE68D"/>
    <w:rsid w:val="E9EABF3E"/>
    <w:rsid w:val="F7F97754"/>
    <w:rsid w:val="FB7FC3E7"/>
    <w:rsid w:val="FF3F61B6"/>
    <w:rsid w:val="FFC7EC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link w:val="14"/>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styleId="4">
    <w:name w:val="heading 3"/>
    <w:basedOn w:val="1"/>
    <w:next w:val="1"/>
    <w:link w:val="16"/>
    <w:unhideWhenUsed/>
    <w:qFormat/>
    <w:uiPriority w:val="9"/>
    <w:pPr>
      <w:keepNext/>
      <w:keepLines/>
      <w:spacing w:before="260" w:after="260" w:line="416" w:lineRule="atLeast"/>
      <w:outlineLvl w:val="2"/>
    </w:pPr>
    <w:rPr>
      <w:b/>
      <w:bCs/>
      <w:sz w:val="32"/>
      <w:szCs w:val="32"/>
    </w:rPr>
  </w:style>
  <w:style w:type="character" w:default="1" w:styleId="12">
    <w:name w:val="Default Paragraph Font"/>
    <w:unhideWhenUsed/>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5">
    <w:name w:val="toc 3"/>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styleId="6">
    <w:name w:val="Balloon Text"/>
    <w:basedOn w:val="1"/>
    <w:link w:val="17"/>
    <w:unhideWhenUsed/>
    <w:qFormat/>
    <w:uiPriority w:val="99"/>
    <w:pPr>
      <w:spacing w:line="240" w:lineRule="auto"/>
    </w:pPr>
    <w:rPr>
      <w:sz w:val="18"/>
      <w:szCs w:val="18"/>
    </w:rPr>
  </w:style>
  <w:style w:type="paragraph" w:styleId="7">
    <w:name w:val="footer"/>
    <w:basedOn w:val="1"/>
    <w:link w:val="18"/>
    <w:unhideWhenUsed/>
    <w:qFormat/>
    <w:uiPriority w:val="0"/>
    <w:pPr>
      <w:tabs>
        <w:tab w:val="center" w:pos="4153"/>
        <w:tab w:val="right" w:pos="8306"/>
      </w:tabs>
      <w:snapToGrid w:val="0"/>
      <w:spacing w:line="240" w:lineRule="atLeast"/>
    </w:pPr>
    <w:rPr>
      <w:sz w:val="18"/>
      <w:szCs w:val="18"/>
    </w:rPr>
  </w:style>
  <w:style w:type="paragraph" w:styleId="8">
    <w:name w:val="header"/>
    <w:basedOn w:val="1"/>
    <w:link w:val="19"/>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9">
    <w:name w:val="toc 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styleId="10">
    <w:name w:val="toc 2"/>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character" w:styleId="13">
    <w:name w:val="Hyperlink"/>
    <w:unhideWhenUsed/>
    <w:qFormat/>
    <w:uiPriority w:val="99"/>
    <w:rPr>
      <w:color w:val="0000FF"/>
      <w:u w:val="single"/>
    </w:rPr>
  </w:style>
  <w:style w:type="character" w:customStyle="1" w:styleId="14">
    <w:name w:val="标题 1 Char"/>
    <w:link w:val="2"/>
    <w:qFormat/>
    <w:uiPriority w:val="9"/>
    <w:rPr>
      <w:b/>
      <w:bCs/>
      <w:kern w:val="44"/>
      <w:sz w:val="44"/>
      <w:szCs w:val="44"/>
    </w:rPr>
  </w:style>
  <w:style w:type="character" w:customStyle="1" w:styleId="15">
    <w:name w:val="标题 2 Char"/>
    <w:link w:val="3"/>
    <w:semiHidden/>
    <w:qFormat/>
    <w:uiPriority w:val="9"/>
    <w:rPr>
      <w:rFonts w:ascii="Cambria" w:hAnsi="Cambria" w:eastAsia="宋体" w:cs="Times New Roman"/>
      <w:b/>
      <w:bCs/>
      <w:sz w:val="32"/>
      <w:szCs w:val="32"/>
    </w:rPr>
  </w:style>
  <w:style w:type="character" w:customStyle="1" w:styleId="16">
    <w:name w:val="标题 3 Char"/>
    <w:link w:val="4"/>
    <w:semiHidden/>
    <w:qFormat/>
    <w:uiPriority w:val="9"/>
    <w:rPr>
      <w:b/>
      <w:bCs/>
      <w:sz w:val="32"/>
      <w:szCs w:val="32"/>
    </w:rPr>
  </w:style>
  <w:style w:type="character" w:customStyle="1" w:styleId="17">
    <w:name w:val="批注框文本 Char"/>
    <w:link w:val="6"/>
    <w:semiHidden/>
    <w:qFormat/>
    <w:uiPriority w:val="99"/>
    <w:rPr>
      <w:sz w:val="18"/>
      <w:szCs w:val="18"/>
    </w:rPr>
  </w:style>
  <w:style w:type="character" w:customStyle="1" w:styleId="18">
    <w:name w:val="页脚 Char"/>
    <w:link w:val="7"/>
    <w:semiHidden/>
    <w:qFormat/>
    <w:uiPriority w:val="0"/>
    <w:rPr>
      <w:sz w:val="18"/>
      <w:szCs w:val="18"/>
    </w:rPr>
  </w:style>
  <w:style w:type="character" w:customStyle="1" w:styleId="19">
    <w:name w:val="页眉 Char"/>
    <w:link w:val="8"/>
    <w:semiHidden/>
    <w:qFormat/>
    <w:uiPriority w:val="0"/>
    <w:rPr>
      <w:sz w:val="18"/>
      <w:szCs w:val="18"/>
    </w:rPr>
  </w:style>
  <w:style w:type="paragraph" w:customStyle="1" w:styleId="20">
    <w:name w:val="TOC 标题"/>
    <w:basedOn w:val="2"/>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paragraph" w:customStyle="1" w:styleId="21">
    <w:name w:val="页脚1"/>
    <w:basedOn w:val="1"/>
    <w:unhideWhenUsed/>
    <w:qFormat/>
    <w:uiPriority w:val="0"/>
    <w:pPr>
      <w:tabs>
        <w:tab w:val="center" w:pos="4153"/>
        <w:tab w:val="right" w:pos="8306"/>
      </w:tabs>
      <w:snapToGrid w:val="0"/>
      <w:spacing w:line="240" w:lineRule="atLeast"/>
    </w:pPr>
    <w:rPr>
      <w:sz w:val="18"/>
      <w:szCs w:val="18"/>
    </w:rPr>
  </w:style>
  <w:style w:type="paragraph" w:customStyle="1" w:styleId="22">
    <w:name w:val="标题 21"/>
    <w:basedOn w:val="1"/>
    <w:next w:val="1"/>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23">
    <w:name w:val="标题 11"/>
    <w:basedOn w:val="1"/>
    <w:next w:val="1"/>
    <w:qFormat/>
    <w:uiPriority w:val="9"/>
    <w:pPr>
      <w:keepNext/>
      <w:keepLines/>
      <w:spacing w:before="340" w:after="330" w:line="578" w:lineRule="atLeast"/>
      <w:outlineLvl w:val="0"/>
    </w:pPr>
    <w:rPr>
      <w:b/>
      <w:bCs/>
      <w:kern w:val="44"/>
      <w:sz w:val="44"/>
      <w:szCs w:val="44"/>
    </w:rPr>
  </w:style>
  <w:style w:type="table" w:customStyle="1" w:styleId="24">
    <w:name w:val="普通表格11"/>
    <w:unhideWhenUsed/>
    <w:uiPriority w:val="99"/>
    <w:tblPr>
      <w:tblCellMar>
        <w:top w:w="0" w:type="dxa"/>
        <w:left w:w="108" w:type="dxa"/>
        <w:bottom w:w="0" w:type="dxa"/>
        <w:right w:w="108" w:type="dxa"/>
      </w:tblCellMar>
    </w:tblPr>
  </w:style>
  <w:style w:type="character" w:customStyle="1" w:styleId="25">
    <w:name w:val="font41"/>
    <w:basedOn w:val="12"/>
    <w:qFormat/>
    <w:uiPriority w:val="0"/>
    <w:rPr>
      <w:rFonts w:hint="eastAsia" w:ascii="宋体" w:hAnsi="宋体" w:eastAsia="宋体" w:cs="宋体"/>
      <w:color w:val="000000"/>
      <w:sz w:val="20"/>
      <w:szCs w:val="20"/>
      <w:u w:val="none"/>
    </w:rPr>
  </w:style>
  <w:style w:type="paragraph" w:customStyle="1" w:styleId="26">
    <w:name w:val="普通(网站)1"/>
    <w:basedOn w:val="1"/>
    <w:unhideWhenUsed/>
    <w:qFormat/>
    <w:uiPriority w:val="99"/>
    <w:rPr>
      <w:sz w:val="24"/>
    </w:rPr>
  </w:style>
  <w:style w:type="character" w:customStyle="1" w:styleId="27">
    <w:name w:val="font1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31</Pages>
  <Words>560</Words>
  <Characters>597</Characters>
  <Lines>60</Lines>
  <Paragraphs>16</Paragraphs>
  <TotalTime>2</TotalTime>
  <ScaleCrop>false</ScaleCrop>
  <LinksUpToDate>false</LinksUpToDate>
  <CharactersWithSpaces>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2019-07-29T18:37:00Z</dcterms:created>
  <dc:creator>Administrator</dc:creator>
  <cp:lastModifiedBy>elaine</cp:lastModifiedBy>
  <cp:lastPrinted>2026-09-03T22:02:00Z</cp:lastPrinted>
  <dcterms:modified xsi:type="dcterms:W3CDTF">2026-09-15T02:30:01Z</dcterms:modified>
  <dc:title>附件1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23B88026EB8345D1B8A3519FB1CEC0F0_13</vt:lpwstr>
  </property>
  <property fmtid="{D5CDD505-2E9C-101B-9397-08002B2CF9AE}" pid="4" name="KSOTemplateDocerSaveRecord">
    <vt:lpwstr>eyJoZGlkIjoiMTBhZjIxNjZkYmZmYzZmYzU0YWFlZjJjYjFiNzMwMDciLCJ1c2VySWQiOiI0ODUyMTk2NjYifQ==</vt:lpwstr>
  </property>
</Properties>
</file>