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580" w:lineRule="exact"/>
        <w:jc w:val="center"/>
        <w:rPr>
          <w:rFonts w:eastAsia="黑体"/>
          <w:w w:val="95"/>
          <w:sz w:val="44"/>
          <w:szCs w:val="44"/>
          <w:highlight w:val="none"/>
        </w:rPr>
      </w:pPr>
    </w:p>
    <w:p>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天津经济技术开发区发展和改革局</w:t>
      </w:r>
    </w:p>
    <w:p>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580" w:lineRule="exact"/>
        <w:jc w:val="center"/>
        <w:rPr>
          <w:rFonts w:hint="eastAsia" w:ascii="黑体" w:eastAsia="黑体"/>
          <w:sz w:val="30"/>
          <w:szCs w:val="30"/>
          <w:highlight w:val="none"/>
        </w:rPr>
      </w:pPr>
    </w:p>
    <w:p>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p>
    <w:p>
      <w:pPr>
        <w:spacing w:line="600" w:lineRule="exact"/>
        <w:jc w:val="center"/>
        <w:rPr>
          <w:rFonts w:hint="eastAsia" w:ascii="黑体" w:eastAsia="黑体"/>
          <w:sz w:val="44"/>
          <w:szCs w:val="44"/>
          <w:highlight w:val="none"/>
        </w:rPr>
      </w:pPr>
    </w:p>
    <w:p>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pPr>
        <w:spacing w:line="600" w:lineRule="exact"/>
        <w:rPr>
          <w:rFonts w:hint="eastAsia" w:ascii="黑体" w:eastAsia="黑体"/>
          <w:sz w:val="30"/>
          <w:szCs w:val="30"/>
          <w:highlight w:val="none"/>
        </w:rPr>
      </w:pP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14</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30</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pPr>
        <w:pStyle w:val="21"/>
        <w:tabs>
          <w:tab w:val="right" w:leader="dot" w:pos="8306"/>
          <w:tab w:val="clear" w:pos="8296"/>
        </w:tabs>
        <w:rPr>
          <w:rFonts w:ascii="Times New Roman" w:hAnsi="Times New Roman" w:eastAsia="方正仿宋_GB2312"/>
          <w:sz w:val="32"/>
          <w:szCs w:val="32"/>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pPr>
        <w:rPr>
          <w:rFonts w:hint="eastAsia"/>
          <w:highlight w:val="none"/>
        </w:rPr>
      </w:pP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pPr>
        <w:spacing w:line="600" w:lineRule="exact"/>
        <w:rPr>
          <w:rFonts w:hint="eastAsia"/>
          <w:highlight w:val="none"/>
        </w:rPr>
      </w:pPr>
    </w:p>
    <w:p>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天津经济技术开发区发展和改革局的主要职责是：（一）贯彻执行有关国民经济和社会发展、统计等方面的法律、法规、规章和方针政策，并组织实施和监督检查。</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组织编制、监测评估经开区国民经济和社会发展中长期规划。组织、指导编制和衔接平衡各行业规划、专项规划。会同有关部门拟订现代服务业发展战略、规划，配合有关部门拟订先进制造业发展战略、规划。配合有关部门进行产业研究和招商政策制定。</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（三）统筹推动经开区高质量发展的总体目标、重大任务以及相关政策。</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四）研究分析国内外和经开区经济形势，提出经济社会发展的年度总体发展目标及相关政策。开展经济运行分析、预测、监测和促进，协调解决经济运行中的重大问题，撰写经济运行分析报告。研究经济运行中的相关问题并提出政策建议。负责经济运行综合资料的编辑。负责年度发展报告编辑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负责经开区固定资产投资综合管理。拟订本区全社会固定资产投资计划，会同有关部门提出本区重点建设项目投资计划和重点项目前期工作计划，并推动实施。组织推动和协调重大项目的谋划、储备和建设工作。统筹编制政府投资项目三年滚动计划和年度投资计划。组织实施投资项目的事中、事后监管。组织推进政府投资项目各类中央预算内资金申报。会同有关部门组织开展地方政府专项债券等相关申报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（六）统筹推动社会信用体系建设相关工作，推动社会信用环境建设。</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（七）统筹推动经开区区域协同发展等相关工作。负责对口衔接经开区京津冀协同发展战略实施，承担经开区京津冀协同发展领导小组办公室日常工作。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八）负责落实支持实体经济发展的政策措施。协调重大技术装备推广应用和主题园区建设。组织落实国民经济动员规划，协调和组织实施有关工作。统筹推动、衔接平衡服务业发展重大问题、落实发展改革领域服务业政策。推动服务业重大项目建设。统筹推进数字经济发展。</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（九）负责经开区民营经济的统筹规划、综合协调等服务工作。加强对民营经济发展专项资金的组织申报、使用和监督管理。负责组织民营经济开展对外合作、交流工作。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负责统筹推进循环经济、资源节约和综合利用工作，推动相关项目建设。承担节能和清洁生产的综合协调工作，依法开展重点用能单位管理。组织拟订经开区能源规划、改革方案和政策措施，推动新能源的开发与应用，负责能源的综合平衡，研究提出重大能源项目布局建议，促进能源战略合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（十一）负责经开区双碳工作领导小组日常工作，研究编制区域碳达峰碳中和方案和相关政策，对碳达峰碳中和重点任务清单落实情况开展督查督办和评估考核。</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（十二）负责制定经开区绩效考核方案、年度目标分解及考核实施，对接滨海新区对经开区绩效考核工作。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（十三）负责商务部、天津市商务局对经开区综合发展水平评价及日常统计报表工作。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（十四）负责规定权限内重要商品、服务价格和收费标准的制定、调整并组织实施，提出价格政策措施和改革意见。              </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（十五）配合上级开展经开区粮食流通行业管理、统计、应急工作，计划用粮和节约用粮的宣传、组织、推动工作。对接滨海新区发改委，支持经开区灾害救助所需的救灾物资供应保障工作。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（十六）负责协调处理辖区内油气长输管道（不含城镇燃气管道和炼油、化工等企业厂区内管道）保护工作，指导、监督有关单位履行管道保护义务。配合上级部门查处危害管道安全的违法行为。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（十七）负责组织实施经开区统计工作，开展分析研究。对有关统计数据进行审核、监测、检查和评估，确保数据质量。查处统计违法违纪案件。</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（十八）负责本领域安全生产管理工作。</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（十九）贯彻落实本部门全面从严治党主体责任，严格落实基层党建工作任务，发挥党组织战斗堡垒作用和党员先锋模范作用。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（二十）完成党委、管委会交办的其他各项工作。</w:t>
      </w:r>
    </w:p>
    <w:p>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纳入天津经济技术开发区发展和改革局2025年度部门决算编制范围的单位包括，部门本级（内设9个职能科室）。</w:t>
      </w:r>
    </w:p>
    <w:p>
      <w:pPr>
        <w:spacing w:line="600" w:lineRule="exact"/>
        <w:rPr>
          <w:rFonts w:hint="eastAsia" w:eastAsia="方正楷体_GB2312"/>
          <w:b/>
          <w:sz w:val="30"/>
          <w:szCs w:val="30"/>
          <w:highlight w:val="none"/>
        </w:rPr>
      </w:pPr>
      <w:r>
        <w:rPr>
          <w:rFonts w:eastAsia="方正楷体_GB2312"/>
          <w:b/>
          <w:sz w:val="30"/>
          <w:szCs w:val="30"/>
          <w:highlight w:val="none"/>
        </w:rPr>
        <w:br w:type="page"/>
      </w: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983"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：天津经济技术开发区发展和改革局</w:t>
            </w:r>
          </w:p>
        </w:tc>
        <w:tc>
          <w:tcPr>
            <w:tcW w:w="4812" w:type="dxa"/>
            <w:gridSpan w:val="2"/>
            <w:tcBorders>
              <w:top w:val="nil"/>
              <w:left w:val="nil"/>
              <w:bottom w:val="single" w:color="000000" w:sz="4" w:space="0"/>
              <w:right w:val="nil"/>
            </w:tcBorders>
            <w:shd w:val="clear" w:color="000000" w:fill="FFFFFF"/>
            <w:noWrap/>
            <w:vAlign w:val="center"/>
          </w:tcPr>
          <w:p>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983" w:type="dxa"/>
            <w:gridSpan w:val="2"/>
            <w:tcBorders>
              <w:top w:val="single" w:color="000000" w:sz="4" w:space="0"/>
              <w:left w:val="single" w:color="000000" w:sz="4" w:space="0"/>
              <w:bottom w:val="single" w:color="000000" w:sz="4" w:space="0"/>
              <w:right w:val="nil"/>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4812" w:type="dxa"/>
            <w:gridSpan w:val="2"/>
            <w:tcBorders>
              <w:top w:val="single" w:color="000000" w:sz="4" w:space="0"/>
              <w:left w:val="nil"/>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2300253940.68</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14173238.94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25040000.00</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68"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5005000.00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7411600.00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161700000.00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2126612921.81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10226179.93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165000.00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2325293940.68</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2325293940.68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97" w:hRule="exact"/>
          <w:jc w:val="center"/>
        </w:trPr>
        <w:tc>
          <w:tcPr>
            <w:tcW w:w="335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2325293940.68</w:t>
            </w:r>
          </w:p>
        </w:tc>
        <w:tc>
          <w:tcPr>
            <w:tcW w:w="318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632"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2325293940.68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jc w:val="center"/>
        </w:trPr>
        <w:tc>
          <w:tcPr>
            <w:tcW w:w="9795" w:type="dxa"/>
            <w:gridSpan w:val="4"/>
            <w:tcBorders>
              <w:top w:val="nil"/>
              <w:left w:val="nil"/>
              <w:bottom w:val="nil"/>
              <w:right w:val="nil"/>
            </w:tcBorders>
            <w:vAlign w:val="center"/>
          </w:tcPr>
          <w:p>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pPr>
        <w:ind w:left="-480" w:leftChars="-200" w:firstLine="0" w:firstLineChars="0"/>
        <w:rPr>
          <w:rFonts w:hint="eastAsia"/>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tblPrEx>
          <w:tblLayout w:type="fixed"/>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1656"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2325293940.68</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2325293940.68</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14173238.94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14173238.94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665750.00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665750.00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665750.00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665750.00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发展与改革事务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13454788.94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13454788.94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11861952.64</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11861952.64</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2010402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1592836.30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1592836.30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52700.00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52700.00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2019999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52700.00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52700.00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科学技术支出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技术研究与开发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2060499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其他技术研究与开发支出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5005000.00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节能环保支出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21110</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能源节约利用</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2111001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能源节约利用</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7411600.00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161700000.00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161700000.00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超长期特别国债安排的支出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25040000.00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25040000.00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136660000.00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136660000.00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商业服务业等支出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涉外发展服务支出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2160699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其他涉外发展服务支出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2126612921.81</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219</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援助其他地区支出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21906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农业农村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21906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农业农村</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10226179.93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165000.00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：天津经济技术开发区发展和改革局</w:t>
            </w: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2325293940.68</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2325293940.68</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2300253940.68</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25040000.00</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321101</w:t>
            </w:r>
          </w:p>
        </w:tc>
        <w:tc>
          <w:tcPr>
            <w:tcW w:w="140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天津经济技术开发区发展和改革局</w:t>
            </w:r>
          </w:p>
        </w:tc>
        <w:tc>
          <w:tcPr>
            <w:tcW w:w="134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2325293940.68</w:t>
            </w:r>
          </w:p>
        </w:tc>
        <w:tc>
          <w:tcPr>
            <w:tcW w:w="11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2325293940.68</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2300253940.68</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25040000.00</w:t>
            </w: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：天津经济技术开发区发展和改革局</w:t>
            </w:r>
          </w:p>
        </w:tc>
        <w:tc>
          <w:tcPr>
            <w:tcW w:w="3576"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321101</w:t>
            </w:r>
          </w:p>
        </w:tc>
        <w:tc>
          <w:tcPr>
            <w:tcW w:w="138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天津经济技术开发区发展和改革局</w:t>
            </w:r>
          </w:p>
        </w:tc>
        <w:tc>
          <w:tcPr>
            <w:tcW w:w="148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pPr>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docGrid w:type="lines" w:linePitch="312" w:charSpace="0"/>
        </w:sectPr>
      </w:pPr>
    </w:p>
    <w:p>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016" w:type="dxa"/>
            <w:tcBorders>
              <w:top w:val="nil"/>
              <w:left w:val="nil"/>
              <w:bottom w:val="single" w:color="000000" w:sz="4" w:space="0"/>
              <w:right w:val="nil"/>
            </w:tcBorders>
            <w:shd w:val="clear" w:color="auto" w:fill="FFFFFF"/>
            <w:noWrap/>
            <w:vAlign w:val="center"/>
          </w:tcPr>
          <w:p>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2325293940.68</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11861952.64</w:t>
            </w: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2313431988.04</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14173238.94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11861952.64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2311286.30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665750.00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665750.00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665750.00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665750.00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发展与改革事务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13454788.94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11861952.64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1592836.30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11861952.64</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11861952.64</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2010402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1592836.30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1592836.30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52700.00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52700.00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2019999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52700.00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52700.00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科学技术支出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技术研究与开发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2060499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其他技术研究与开发支出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5005000.00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节能环保支出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21110</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能源节约利用</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2111001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能源节约利用</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7411600.00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161700000.00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161700000.00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超长期特别国债安排的支出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25040000.00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25040000.00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136660000.00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136660000.00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商业服务业等支出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涉外发展服务支出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2160699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其他涉外发展服务支出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2126612921.81</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219</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援助其他地区支出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21906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农业农村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21906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农业农村</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10226179.93</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165000.00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004"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2300253940.68</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14173238.94</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14173238.94</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25040000.00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5005000.00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5005000.00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7411600.00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7411600.00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161700000.00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136660000.00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25040000.00</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2126612921.81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2126612921.81</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10226179.93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10226179.93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165000.00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165000.00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2325293940.68</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2325293940.68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2300253940.68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25040000.00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2325293940.68</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2325293940.68</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2300253940.68</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25040000.00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天津经济技术开发区发展和改革局</w:t>
            </w:r>
          </w:p>
        </w:tc>
        <w:tc>
          <w:tcPr>
            <w:tcW w:w="2447"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2300253940.68</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11861952.64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11399893.46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462059.18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2288391988.04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14173238.94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11861952.64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11399893.46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462059.18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2311286.30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665750.00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665750.00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665750.00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665750.00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发展与改革事务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13454788.94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11861952.64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11399893.46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462059.18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1592836.30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11861952.64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11861952.64</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11399893.46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462059.18</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2010402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1592836.30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1592836.30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52700.00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52700.00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2019999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52700.00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52700.00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科学技术支出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技术研究与开发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2060499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其他技术研究与开发支出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5005000.00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节能环保支出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21110</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能源节约利用</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2111001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能源节约利用</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7411600.00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136660000.00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136660000.00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21599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其他资源勘探工业信息等支出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136660000.00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136660000.00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商业服务业等支出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2160699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其他涉外发展服务支出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2126612921.81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219</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援助其他地区支出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21906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农业农村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21906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农业农村</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10226179.93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165000.00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231"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11399893.46</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462059.18</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2224133.46</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104560.00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5450898.53</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1160.00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9063.25</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299.98</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574233.60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287116.80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358896.00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58995.50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26963.07</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60488.00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2477652.00</w:t>
            </w: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820.00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2414.99</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1210.00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7711.50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156870.00</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54995.96</w:t>
            </w:r>
          </w:p>
        </w:tc>
        <w:tc>
          <w:tcPr>
            <w:tcW w:w="79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11399893.46</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462059.18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25040000.00</w:t>
            </w: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25040000.00</w:t>
            </w: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25040000.00</w:t>
            </w:r>
          </w:p>
        </w:tc>
        <w:tc>
          <w:tcPr>
            <w:tcW w:w="207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超长期特别国债安排的支出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天津经济技术开发区发展和改革局2025年度国有资本经营预算财政拨款收入支出决算表为空表。</w:t>
      </w:r>
    </w:p>
    <w:p>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022" w:type="dxa"/>
            <w:gridSpan w:val="4"/>
            <w:tcBorders>
              <w:bottom w:val="single" w:color="auto" w:sz="4" w:space="0"/>
              <w:tl2br w:val="nil"/>
              <w:tr2bl w:val="nil"/>
            </w:tcBorders>
            <w:shd w:val="clear" w:color="auto" w:fill="FFFFFF"/>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669" w:type="dxa"/>
            <w:tcBorders>
              <w:bottom w:val="single" w:color="auto" w:sz="4" w:space="0"/>
              <w:tl2br w:val="nil"/>
              <w:tr2bl w:val="nil"/>
            </w:tcBorders>
            <w:shd w:val="clear" w:color="auto" w:fill="FFFFFF"/>
            <w:vAlign w:val="center"/>
          </w:tcPr>
          <w:p>
            <w:pPr>
              <w:snapToGrid w:val="0"/>
              <w:rPr>
                <w:rFonts w:hint="eastAsia" w:ascii="宋体" w:hAnsi="宋体" w:eastAsia="宋体" w:cs="宋体"/>
                <w:i w:val="0"/>
                <w:iCs w:val="0"/>
                <w:color w:val="000000"/>
                <w:sz w:val="20"/>
                <w:szCs w:val="20"/>
                <w:u w:val="none"/>
              </w:rPr>
            </w:pPr>
          </w:p>
        </w:tc>
        <w:tc>
          <w:tcPr>
            <w:tcW w:w="2597" w:type="dxa"/>
            <w:tcBorders>
              <w:bottom w:val="single" w:color="auto" w:sz="4" w:space="0"/>
              <w:tl2br w:val="nil"/>
              <w:tr2bl w:val="nil"/>
            </w:tcBorders>
            <w:shd w:val="clear" w:color="auto" w:fill="FFFFFF"/>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66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301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800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59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266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3018"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66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597"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61698.00</w:t>
            </w: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60488.00</w:t>
            </w: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59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6288" w:type="dxa"/>
            <w:gridSpan w:val="6"/>
            <w:tcBorders>
              <w:top w:val="single" w:color="auto" w:sz="4" w:space="0"/>
              <w:tl2br w:val="nil"/>
              <w:tr2bl w:val="nil"/>
            </w:tcBorders>
            <w:vAlign w:val="center"/>
          </w:tcPr>
          <w:p>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天津经济技术开发区发展和改革局</w:t>
            </w: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2313431988.04</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2288391988.04</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25040000.00</w:t>
            </w: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2311286.30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2311286.30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665750.00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665750.00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665750.00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665750.00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发展与改革事务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1592836.30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1592836.30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2010402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1592836.30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1592836.30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52700.00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52700.00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2019999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52700.00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52700.00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科学技术支出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技术研究与开发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2060499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其他技术研究与开发支出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5005000.00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节能环保支出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21110</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能源节约利用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2111001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能源节约利用</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7411600.00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161700000.00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136660000.00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超长期特别国债安排的支出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制造业</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25040000.00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136660000.00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136660000.00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2159904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技术改造支出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136660000.00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136660000.00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商业服务业等支出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涉外发展服务支出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2160699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其他涉外发展服务支出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2126612921.81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219</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援助其他地区支出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21906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农业农村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21906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农业农村</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10226179.93</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165000.00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pPr>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docGrid w:type="lines" w:linePitch="312" w:charSpace="0"/>
        </w:sectPr>
      </w:pPr>
    </w:p>
    <w:p>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pPr>
        <w:spacing w:line="600" w:lineRule="exact"/>
        <w:ind w:firstLine="600" w:firstLineChars="200"/>
        <w:rPr>
          <w:rFonts w:hint="eastAsia" w:ascii="黑体" w:eastAsia="黑体"/>
          <w:sz w:val="30"/>
          <w:szCs w:val="30"/>
          <w:highlight w:val="none"/>
        </w:rPr>
      </w:pP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天津经济技术开发区发展和改革局2025年度收入、支出决算总计2,325,293,940.68元。与2024年度相比，收、支总计各增加1,857,639,743.21元，增长397.23%，主要原因是产业扶持专项预算资金增加并支出。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收入包括：一般公共预算财政拨款收入2,300,253,940.68元、政府性基金预算财政拨款收入25,040,000.00元。</w:t>
      </w:r>
    </w:p>
    <w:p>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14,173,238.94元、科学技术支出5,005,000.00元、节能环保支出7,411,600.00元、资源勘探工业信息等支出161,700,000.00元、商业服务业等支出2,126,612,921.81元、援助其他地区支出10,226,179.93元、灾害防治及应急管理支出165,000.00元。</w:t>
      </w:r>
    </w:p>
    <w:p>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发展和改革局2025年度本年收入合计2,325,293,940.68元，与2024年度相比增加1,857,639,743.21元，主要原因是产业扶持专项预算资金增加并支出。其中：一般公共预算财政拨款收入2,300,253,940.68元，占98.92%；政府性基金预算财政拨款收入25,040,000.00元，占1.08%。</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天津经济技术开发区发展和改革局2025年度本年支出合计2,325,293,940.68元，与2024年度相比增加1,857,639,743.21元，主要原因是产业扶持专项预算资金增加并支出。其中：</w:t>
      </w:r>
      <w:r>
        <w:rPr>
          <w:rFonts w:hint="eastAsia" w:eastAsia="仿宋_GB2312"/>
          <w:sz w:val="30"/>
          <w:szCs w:val="30"/>
          <w:highlight w:val="none"/>
        </w:rPr>
        <w:t>基本支出11,861,952.64元，占0.51%；项目支出2,313,431,988.04元，占99.49%。</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天津经济技术开发区发展和改革局2025年度财政拨款收入、支出决算总计2,325,293,940.68元。与2024年度相比，财政拨款收、支总计各增加1,857,639,743.21元，增长397.23%，主要原因是产业扶持专项预算资金增加并支出。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收入包括：一般公共预算财政拨款2,300,253,940.68元、政府性基金预算财政拨款25,040,000.00元。</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14,173,238.94元、科学技术支出5,005,000.00元、节能环保支出7,411,600.00元、资源勘探工业信息等支出161,700,000.00元、商业服务业等支出2,126,612,921.81元、援助其他地区支出10,226,179.93元、灾害防治及应急管理支出165,000.00元。</w:t>
      </w:r>
    </w:p>
    <w:p>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一般公共预算财政拨款支出合计2,300,253,940.68元，占本年支出合计的98.92%。与2024年度相比，一般公共预算财政拨款支出增加1,857,259,743.21元，增长419.25%，主要原因是产业扶持专项预算资金增加并支出。</w:t>
      </w:r>
    </w:p>
    <w:p>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2025年度一般公共预算财政拨款支出2,300,253,940.68元，主要用于以下方面：</w:t>
      </w:r>
      <w:r>
        <w:rPr>
          <w:rFonts w:hint="eastAsia" w:eastAsia="仿宋_GB2312"/>
          <w:sz w:val="30"/>
          <w:szCs w:val="30"/>
          <w:highlight w:val="none"/>
        </w:rPr>
        <w:t>一般公共服务支出（类）支出14,173,238.94元，占0.62%，科学技术支出（类）支出5,005,000.00元，占0.22%，节能环保支出（类）支出7,411,600.00元，占0.32%，资源勘探工业信息等支出（类）支出136,660,000.00元，占5.94%，商业服务业等支出（类）支出2,126,612,921.81元，占92.45%，援助其他地区支出（类）支出10,226,179.93元，占0.44%，灾害防治及应急管理支出（类）支出165,000.00元，占0.01%。</w:t>
      </w:r>
    </w:p>
    <w:p>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2025年度一般公共预算财政拨款支出年初预算为2,029,852,600.00元，支出决算为2,300,253,940.68元，完成年初预算的113.32%。其中：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4,470,000.00元，支出决算为665,750.00元，完成年初预算的14.89%，决算数小于年初预算数的主要原因是：根据管委会统筹工作部署，经开区“十五五”规划编制项目预算资金调剂至各归口部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2.一般公共服务支出（类）发展与改革事务（款）行政运行（项）年初预算为13,417,100.00元，支出决算为11,861,952.64元，完成年初预算的88.41%，决算数小于年初预算数的主要原因是：严控支出，压减非刚性支出。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发展与改革事务（款）一般行政管理事务（项）年初预算为2,100,000.00元，支出决算为1,592,836.30元，完成年初预算的75.85%，决算数小于年初预算数的主要原因是：部分项目未完成预算预计工作量，未达到付款条件。</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一般公共服务支出（类）其他一般公共服务支出（款）其他一般公共服务支出（项）年初预算为0.00元，支出决算为52,700.00元，决算数大于年初预算数的主要原因是：按照上级下达专项预算资金要求，增加现代服务业专项预算资金并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科学技术支出（类）技术研究与开发（款）其他技术研究与开发支出（项）年初预算为10,000,000.00元，支出决算为5,005,000.00元，完成年初预算的50.05%，决算数小于年初预算数的主要原因是：按照产业扶持专项扶持资金需要，将项目资金调剂至有关专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节能环保支出（类）能源节约利用（款）能源节约利用（项）年初预算为19,031,000.00元，支出决算为7,411,600.00元，完成年初预算的38.94%，决算数小于年初预算数的主要原因是：根据产业扶持专项资金统筹需要，将节能环保专项预算资金调至有关专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商业服务业等支出（类）涉外发展服务支出（款）其他涉外发展服务支出（项）年初预算为1,970,000,000.00元，支出决算为2,126,612,921.81元，完成年初预算的107.95%，决算数大于年初预算数的主要原因是：年中追加现代服务业专项预算资金并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援助其他地区支出（类）农业农村（款）农业农村（项）年初预算为10,250,000.00元，支出决算为10,226,179.93元，完成年初预算的99.77%，决算数小于年初预算数的主要原因是：严格按照预算执行，基本完成预算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灾害防治及应急管理支出（类）应急管理事务（款）安全监管（项）年初预算为584,500.00元，支出决算为165,000.00元，完成年初预算的28.23%，决算数小于年初预算数的主要原因是：项目未完成预算预计工作量，未达到付款条件。</w:t>
      </w:r>
    </w:p>
    <w:p>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天津经济技术开发区发展和改革局2025年度一般公共预算财政拨款基本支出合计11,861,952.64元，与2024年度相比增加974,385.48元，主要原因是人员调动，人员经费较上年有所增加。其中：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人员经费11,399,893.46元，主要包括基本工资、津贴补贴、机关事业单位基本养老保险缴费、职业年金缴费、职工基本医疗保险缴费、其他社会保障缴费、住房公积金。</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公用经费462,059.18元，主要包括办公费、手续费、水费、电费、邮电费、差旅费、因公出国（境）费用、维修(护)费、培训费、公务接待费、劳务费、委托业务费、其他交通费用、其他商品和服务支出。</w:t>
      </w:r>
    </w:p>
    <w:p>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pPr>
        <w:wordWrap w:val="0"/>
        <w:spacing w:line="600" w:lineRule="exact"/>
        <w:ind w:firstLine="602" w:firstLineChars="200"/>
        <w:rPr>
          <w:rFonts w:hint="eastAsia" w:ascii="楷体" w:hAnsi="楷体" w:eastAsia="楷体" w:cs="楷体"/>
          <w:b/>
          <w:bCs/>
          <w:sz w:val="30"/>
          <w:szCs w:val="30"/>
          <w:highlight w:val="none"/>
          <w:lang w:val="en-US" w:eastAsia="zh-CN"/>
        </w:rPr>
      </w:pPr>
      <w:r>
        <w:rPr>
          <w:rFonts w:hint="eastAsia" w:ascii="楷体" w:hAnsi="楷体" w:eastAsia="楷体" w:cs="楷体"/>
          <w:b/>
          <w:bCs/>
          <w:sz w:val="30"/>
          <w:szCs w:val="30"/>
          <w:highlight w:val="none"/>
          <w:lang w:val="en-US" w:eastAsia="zh-CN"/>
        </w:rPr>
        <w:t>（一）总体情况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政府性基金预算财政拨款年初结转和结余0.00元，收入25,040,000.00元，支出25,040,000.00元，年末结转和结余0.00元。与2024年度相比，政府性基金预算财政拨款支出增加380,000.00元，增长1.54%，主要原因是增加上级专项预算资金并支出。</w:t>
      </w:r>
    </w:p>
    <w:p>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2025年度政府性基金预算财政拨款支出25,040,000.00元，主要用于以下方面：</w:t>
      </w:r>
      <w:r>
        <w:rPr>
          <w:rFonts w:hint="eastAsia" w:eastAsia="仿宋_GB2312"/>
          <w:sz w:val="28"/>
          <w:szCs w:val="28"/>
          <w:highlight w:val="none"/>
        </w:rPr>
        <w:t>资源勘探工业信息等支出（类）支出25,040,000.00元，占100.00%</w:t>
      </w:r>
      <w:r>
        <w:rPr>
          <w:rFonts w:hint="eastAsia" w:eastAsia="仿宋_GB2312"/>
          <w:sz w:val="30"/>
          <w:szCs w:val="30"/>
          <w:highlight w:val="none"/>
          <w:lang w:val="en-US" w:eastAsia="zh-CN"/>
        </w:rPr>
        <w:t>。</w:t>
      </w:r>
    </w:p>
    <w:p>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2025年度政府性基金预算财政拨款支出年初预算为0.00元，支出决算为25,040,000.00元。</w:t>
      </w:r>
      <w:bookmarkStart w:id="31" w:name="_GoBack"/>
      <w:bookmarkEnd w:id="31"/>
    </w:p>
    <w:p>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天津经济技术开发区发展和改革局2025年度无国有资本经营预算财政拨款收入、支出和结转结余。</w:t>
      </w:r>
    </w:p>
    <w:p>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63,488.00元，支出决算61,698.00元，与2025年预算相比减少1,790.00元，完成预算的97.18%；支出决算较上年增加53,265.00元，增长631.63%。决算数小于预算数的主要原因是严控公务接待支出；决算数较上年增加的主要原因是增加因公出国（境）费支出。</w:t>
      </w:r>
    </w:p>
    <w:p>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60,488.00元，支出决算60,488.00元，与预算相比持平，完成预算的100.00%；支出决算较上年增加54,575.00元，增长922.97%。决算数与预算数持平的主要原因是按预算执行；决算数较上年增加的主要原因是较上年度增加因公出国（境）活动，相应增加因公出国（境）费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2025年本单位组织的出国团组0个，出国1人次。</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运行维护费；决算数较上年持平的主要原因是本年度未用财政拨款经费列支公务用运行维护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购置费；决算数较上年持平的主要原因是本年度未用财政拨款经费列支公务用购置费。</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3,000.00元，支出决算1,210.00元，与预算相比减少1,790.00元，完成预算的40.33%；支出决算较上年减少1,310.00元，下降51.98%。决算数小于预算数的主要原因是严控三公经费支出；决算数较上年减少的主要原因是本年度公务接待活动减少，相应减少公务接待支出。</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2025年本单位国内公务接待4批次，32人次；其中，外事接待0批次，0人次。</w:t>
      </w:r>
    </w:p>
    <w:p>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发展和改革局2025年度机关运行经费年初预算473,100.00元，决算数462,059.18元，与年初预算相比减少11,040.82元，完成年初预算的97.67%；比2024年增加90,974.08元，增长24.52%。主要原因是：按照政府收支分类科目要求，本年度由公用经费列支残保金，因此较上年度有所增长。</w:t>
      </w:r>
    </w:p>
    <w:p>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政府采购支出总额2,079,800.00元，其中：政府采购货物支出39,800.00元、政府采购工程支出0.00元、政府采购服务支出2,040,000.00元。授予中小企业合同金额1,140,000.00元，占政府采购支出总额的54.81%，其中：授予小微企业合同金额790,000.00元，占政府采购支出总额的37.98%；货物采购授予中小企业合同金额占货物支出金额的0.00%，工程采购授予中小企业合同金额占工程支出金额的0.00%，服务采购授予中小企业合同金额占服务支出金额的55.88%。</w:t>
      </w:r>
    </w:p>
    <w:p>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天津经济技术开发区发展和改革局2025年度无国有资产占有使用情况。</w:t>
      </w:r>
    </w:p>
    <w:p>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发展和改革局（天津经济技术开发区统计局）已对2025年度13个区级项目开展绩效自评，涉及金额2145,893,004.42元，已对4个上级专项资金项目开展绩效自评，涉及金额6,994,700元，自评结果已随部门决算一并公开。</w:t>
      </w:r>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天津经济技术开发区发展和改革局（天津经济技术开发区统计局）不属于乡、镇、街级单位，不涉及公开2025年教育、医疗卫生、社会保障和就业、住房保障、涉农补贴等民生支出情况。</w:t>
      </w:r>
    </w:p>
    <w:p>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C5CA5B6-C5DB-4066-9E72-6D6BA510938D}"/>
  </w:font>
  <w:font w:name="Arial">
    <w:panose1 w:val="020B0604020202020204"/>
    <w:charset w:val="01"/>
    <w:family w:val="swiss"/>
    <w:pitch w:val="default"/>
    <w:sig w:usb0="E0002EFF" w:usb1="C000785B" w:usb2="00000009" w:usb3="00000000" w:csb0="400001FF" w:csb1="FFFF0000"/>
    <w:embedRegular r:id="rId2" w:fontKey="{19B36DF9-0133-49BF-9366-F2929B673333}"/>
  </w:font>
  <w:font w:name="黑体">
    <w:panose1 w:val="02010609060101010101"/>
    <w:charset w:val="86"/>
    <w:family w:val="auto"/>
    <w:pitch w:val="default"/>
    <w:sig w:usb0="800002BF" w:usb1="38CF7CFA" w:usb2="00000016" w:usb3="00000000" w:csb0="00040001" w:csb1="00000000"/>
    <w:embedRegular r:id="rId3" w:fontKey="{3343DEEF-1DC2-4C88-80C8-5FEEC5F8B304}"/>
  </w:font>
  <w:font w:name="Courier New">
    <w:panose1 w:val="02070309020205020404"/>
    <w:charset w:val="01"/>
    <w:family w:val="modern"/>
    <w:pitch w:val="default"/>
    <w:sig w:usb0="E0002EFF" w:usb1="C0007843" w:usb2="00000009" w:usb3="00000000" w:csb0="400001FF" w:csb1="FFFF0000"/>
    <w:embedRegular r:id="rId4" w:fontKey="{18AB6737-FDBC-4D3A-9DCA-1FDED90B98B3}"/>
  </w:font>
  <w:font w:name="Symbol">
    <w:panose1 w:val="05050102010706020507"/>
    <w:charset w:val="02"/>
    <w:family w:val="roman"/>
    <w:pitch w:val="default"/>
    <w:sig w:usb0="00000000" w:usb1="00000000" w:usb2="00000000" w:usb3="00000000" w:csb0="80000000" w:csb1="00000000"/>
    <w:embedRegular r:id="rId5" w:fontKey="{F857887B-0575-4033-B58C-A6F71FCEAB88}"/>
  </w:font>
  <w:font w:name="Calibri">
    <w:panose1 w:val="020F0502020204030204"/>
    <w:charset w:val="00"/>
    <w:family w:val="swiss"/>
    <w:pitch w:val="default"/>
    <w:sig w:usb0="E4002EFF" w:usb1="C000247B" w:usb2="00000009" w:usb3="00000000" w:csb0="200001FF" w:csb1="00000000"/>
    <w:embedRegular r:id="rId6" w:fontKey="{3479CCE5-9C56-4C32-9A85-620FF24E1CA7}"/>
  </w:font>
  <w:font w:name="Cambria">
    <w:panose1 w:val="02040503050406030204"/>
    <w:charset w:val="00"/>
    <w:family w:val="roman"/>
    <w:pitch w:val="default"/>
    <w:sig w:usb0="E00006FF" w:usb1="420024FF" w:usb2="02000000" w:usb3="00000000" w:csb0="2000019F" w:csb1="00000000"/>
    <w:embedRegular r:id="rId7" w:fontKey="{86169040-AE0A-46A2-9401-E1E76B8AE1E1}"/>
  </w:font>
  <w:font w:name="方正小标宋简体">
    <w:panose1 w:val="03000509000000000000"/>
    <w:charset w:val="86"/>
    <w:family w:val="auto"/>
    <w:pitch w:val="default"/>
    <w:sig w:usb0="00000001" w:usb1="080E0000" w:usb2="00000000" w:usb3="00000000" w:csb0="00040000" w:csb1="00000000"/>
    <w:embedRegular r:id="rId8" w:fontKey="{860AD37C-C362-43D2-9ADE-76246FB03366}"/>
  </w:font>
  <w:font w:name="仿宋">
    <w:panose1 w:val="02010609060101010101"/>
    <w:charset w:val="86"/>
    <w:family w:val="auto"/>
    <w:pitch w:val="default"/>
    <w:sig w:usb0="800002BF" w:usb1="38CF7CFA" w:usb2="00000016" w:usb3="00000000" w:csb0="00040001" w:csb1="00000000"/>
    <w:embedRegular r:id="rId9" w:fontKey="{4FE24D82-47A2-4257-B510-1038BA50E5DE}"/>
  </w:font>
  <w:font w:name="方正仿宋_GB2312">
    <w:altName w:val="仿宋"/>
    <w:panose1 w:val="02000000000000000000"/>
    <w:charset w:val="86"/>
    <w:family w:val="auto"/>
    <w:pitch w:val="default"/>
    <w:sig w:usb0="00000000" w:usb1="00000000" w:usb2="00000012" w:usb3="00000000" w:csb0="00040001" w:csb1="00000000"/>
    <w:embedRegular r:id="rId10" w:fontKey="{318AD928-5D65-41A7-9EEB-4AAEB3DB8865}"/>
  </w:font>
  <w:font w:name="仿宋_GB2312">
    <w:panose1 w:val="02010609030101010101"/>
    <w:charset w:val="86"/>
    <w:family w:val="auto"/>
    <w:pitch w:val="default"/>
    <w:sig w:usb0="00000001" w:usb1="080E0000" w:usb2="00000000" w:usb3="00000000" w:csb0="00040000" w:csb1="00000000"/>
    <w:embedRegular r:id="rId11" w:fontKey="{E015BAFD-6779-4A6B-95E1-9B0806CE2E23}"/>
  </w:font>
  <w:font w:name="方正楷体_GB2312">
    <w:altName w:val="宋体"/>
    <w:panose1 w:val="02000000000000000000"/>
    <w:charset w:val="86"/>
    <w:family w:val="auto"/>
    <w:pitch w:val="default"/>
    <w:sig w:usb0="00000000" w:usb1="00000000" w:usb2="00000012" w:usb3="00000000" w:csb0="00040001" w:csb1="00000000"/>
    <w:embedRegular r:id="rId12" w:fontKey="{F406E1C2-59B7-4748-A998-9CAA0CFF938A}"/>
  </w:font>
  <w:font w:name="等线">
    <w:panose1 w:val="02010600030101010101"/>
    <w:charset w:val="86"/>
    <w:family w:val="auto"/>
    <w:pitch w:val="default"/>
    <w:sig w:usb0="A00002BF" w:usb1="38CF7CFA" w:usb2="00000016" w:usb3="00000000" w:csb0="0004000F" w:csb1="00000000"/>
    <w:embedRegular r:id="rId13" w:fontKey="{C76D9B57-F06C-4590-A6D2-7B2E09CF2D5A}"/>
  </w:font>
  <w:font w:name="楷体">
    <w:panose1 w:val="02010609060101010101"/>
    <w:charset w:val="86"/>
    <w:family w:val="decorative"/>
    <w:pitch w:val="default"/>
    <w:sig w:usb0="800002BF" w:usb1="38CF7CFA" w:usb2="00000016" w:usb3="00000000" w:csb0="00040001" w:csb1="00000000"/>
    <w:embedRegular r:id="rId14" w:fontKey="{D5F62052-99AD-4C9F-BBEF-AFF9FEB19B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6" o:spid="_x0000_s204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6</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7" o:spid="_x0000_s205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11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28"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25</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w:pict>
        <v:shape id="文本框 7" o:spid="_x0000_s2052"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pPr>
                  <w:pStyle w:val="17"/>
                </w:pPr>
                <w:r>
                  <w:fldChar w:fldCharType="begin"/>
                </w:r>
                <w:r>
                  <w:instrText xml:space="preserve"> PAGE  \* MERGEFORMAT </w:instrText>
                </w:r>
                <w:r>
                  <w:fldChar w:fldCharType="separate"/>
                </w:r>
                <w:r>
                  <w:t>35</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744D03A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2">
    <w:name w:val="Default Paragraph Font"/>
    <w:unhideWhenUsed/>
    <w:uiPriority w:val="0"/>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 w:type="table" w:styleId="4">
    <w:name w:val="Table Grid"/>
    <w:basedOn w:val="3"/>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Layout w:type="fixed"/>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uiPriority w:val="99"/>
    <w:pPr>
      <w:spacing w:line="240" w:lineRule="auto"/>
    </w:pPr>
    <w:rPr>
      <w:sz w:val="18"/>
      <w:szCs w:val="18"/>
    </w:rPr>
  </w:style>
  <w:style w:type="character" w:customStyle="1" w:styleId="16">
    <w:name w:val="批注框文本 Char"/>
    <w:link w:val="15"/>
    <w:semiHidden/>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uiPriority w:val="0"/>
    <w:rPr>
      <w:sz w:val="18"/>
      <w:szCs w:val="18"/>
    </w:rPr>
  </w:style>
  <w:style w:type="paragraph" w:customStyle="1" w:styleId="19">
    <w:name w:val="页眉1"/>
    <w:basedOn w:val="1"/>
    <w:link w:val="20"/>
    <w:unhideWhenUsed/>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2"/>
    <w:qFormat/>
    <w:uiPriority w:val="0"/>
    <w:rPr>
      <w:rFonts w:hint="eastAsia" w:ascii="宋体" w:hAnsi="宋体" w:eastAsia="宋体" w:cs="宋体"/>
      <w:color w:val="000000"/>
      <w:sz w:val="20"/>
      <w:szCs w:val="20"/>
      <w:u w:val="none"/>
    </w:rPr>
  </w:style>
  <w:style w:type="character" w:customStyle="1" w:styleId="28">
    <w:name w:val="font11"/>
    <w:basedOn w:val="2"/>
    <w:qFormat/>
    <w:uiPriority w:val="0"/>
    <w:rPr>
      <w:rFonts w:hint="eastAsia" w:ascii="宋体" w:hAnsi="宋体" w:eastAsia="宋体" w:cs="宋体"/>
      <w:color w:val="000000"/>
      <w:sz w:val="22"/>
      <w:szCs w:val="22"/>
      <w:u w:val="none"/>
    </w:rPr>
  </w:style>
  <w:style w:type="table" w:customStyle="1" w:styleId="29">
    <w:name w:val="普通表格1"/>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2049"/>
    <customShpInfo spid="_x0000_s2050"/>
    <customShpInfo spid="_x0000_s2051"/>
    <customShpInfo spid="_x0000_s2052"/>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78b0ac-ec0f-4ad5-9336-5f46c951834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38</Pages>
  <Words>3930</Words>
  <Characters>23360</Characters>
  <Lines>60</Lines>
  <Paragraphs>16</Paragraphs>
  <TotalTime>0</TotalTime>
  <ScaleCrop>false</ScaleCrop>
  <LinksUpToDate>false</LinksUpToDate>
  <CharactersWithSpaces>23943</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Administrator</cp:lastModifiedBy>
  <cp:lastPrinted>2025-06-25T07:52:00Z</cp:lastPrinted>
  <dcterms:modified xsi:type="dcterms:W3CDTF">2026-09-11T03:36:50Z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