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天津经济技术开发区商务局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10</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（1）贯彻执行有关国内外贸易、国内国际经济合作、会展经济的法律法规和方针政策，制定相关发展规划及配套措施。</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（2）根据国民经济和社会发展总体规划，组织编制内外贸易、国内国际经济合作、会展经济中长期产业发展战略、发展规划、行业规范和年度计划，并推进落实。</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负责国内外贸易促进和管理，做好相关产业促进及产业发展研究工作，牵头服务贸易促进工作，牵头组织完成经开区内贸、外贸、服贸等指标任务。开展天津市全面深化服务贸易创新发展试点相关工作，促进新兴贸易业态和服务贸易的发展，推动商贸物流等工作。负责组织推动二手车出口、平行车进口、跨境电商、外贸综合服务平台等相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促进商业、流通业、商贸服务业，包括：大型购物中心、大型超市、农贸市场、餐饮、住宿（含星级、非星级）、家庭服务业等的发展，推动夜间经济。牵头协调开展整顿和规范市场经济秩序工作的责任，拟订规范市场运行、流通秩序的措施办法，推动商务领域信用建设，按有关规定对特殊流通行业进行监督管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推动落实行业领域内各类基地、示范区等专项创建和管理工作。负责服务贸易相关专项资金的申报和组织实施工作。负责组织推动国家数字服务出口基地、国家进口贸易促进创新示范区、国家电子商务示范基地建设和考核工作。牵头协调相关招商部门做好国家外贸转型升级基地（中药及西药）、国家汽车零部件出口基地等外贸出口基地申报、日常培训、考核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统筹规划、指导和协调全区会展业发展，负责挖掘推送境外经贸活动、供需信息、展览会议等资讯，协调区内企业开展产品与服务的推广，创造区内企业与国内外商贸机构交流与合作的商机。负责促进区内会展经济，组织区内企业参加国内外商贸性展会。</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（7）结合部门功能职责开展招商引资，主要负责商贸和流通领域的招商引资等工作，完成党委、管委会下达的各项招商指标。</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负责本领域安全生产管理，从行业规划、产业政策、法规标准等方面加强本领域安全生产工作，指导督促企业加强安全管理。配合做好全区大型购物中心、大型超市、农贸市场、住宿行业（含星级、非星级）等商务领域的安全生产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（9）贯彻落实本部门全面从严治党主体责任，严格落实基层党建工作任务，发挥党组织战斗堡垒作用和党员先锋模范作用。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（10）承接上级对口职能部门安排的商务领域相关工作。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部门本级(内设7个职能科室)。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天津经济技术开发区商务局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27510985.96</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27510985.96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27510985.96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27485985.96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27485985.96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8150249.11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8150249.11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474746.85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474746.85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18860990.00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18860990.00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天津经济技术开发区商务局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27510985.96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27510985.96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27510985.96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683101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天津经济技术开发区商务局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27510985.96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27510985.96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27510985.96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天津经济技术开发区商务局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683101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天津经济技术开发区商务局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27510985.96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8150249.11</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19360736.85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27510985.96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8150249.11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19360736.85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27485985.96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8150249.11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19335736.85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8150249.11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8150249.11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474746.85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474746.85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18860990.00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18860990.00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27510985.96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天津经济技术开发区商务局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27510985.96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8150249.11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7922893.00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227356.11</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19360736.85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27510985.96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8150249.11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7922893.00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227356.11</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19360736.85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27485985.96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8150249.11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7922893.00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227356.11</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19335736.85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8150249.11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8150249.11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7922893.00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227356.11</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474746.85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474746.85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18860990.00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18860990.00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7922893.00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227356.11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1606346.84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40377.22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3802146.08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8325.00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8910.00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398707.20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199353.60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249192.00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2771.00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17927.28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1649220.00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117839.00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40518.89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7922893.00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227356.11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天津经济技术开发区商务局2025年度政府性基金预算财政拨款收入支出决算表为空表。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天津经济技术开发区商务局2025年度国有资本经营预算财政拨款收入支出决算表为空表。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22777.91</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21897.91</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天津经济技术开发区商务局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19360736.85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19360736.85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19360736.85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19360736.85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19335736.85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19335736.85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474746.85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474746.85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18860990.00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18860990.00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27,510,985.96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增加27,510,985.96元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本单位是2025年新成立单位，无上年可比基数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一般公共预算财政拨款收入27,510,985.96元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一般公共服务支出27,510,985.96元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27,510,985.96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增加27,510,985.96元，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本单位是2025年新成立单位，无上年可比基数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一般公共预算财政拨款收入27,510,985.96元，占100.00%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27,510,985.96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增加27,510,985.96元，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本单位是2025年新成立单位，无上年可比基数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基本支出8,150,249.11元，占29.63%；项目支出19,360,736.85元，占70.37%</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27,510,985.96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增加27,510,985.96元，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本单位是2025年新成立单位，无上年可比基数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一般公共预算财政拨款27,510,985.96元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一般公共服务支出27,510,985.96元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天津经济技术开发区商务局2025年度一般公共预算财政拨款支出合计27,510,985.96元，占本年支出合计的100.00%。与2024年度相比，一般公共预算财政拨款支出</w:t>
      </w:r>
      <w:r>
        <w:rPr>
          <w:rFonts w:eastAsia="仿宋_GB2312" w:hint="eastAsia"/>
          <w:sz w:val="30"/>
          <w:szCs w:val="30"/>
          <w:highlight w:val="none"/>
          <w:lang w:val="en-US" w:eastAsia="zh-CN"/>
        </w:rPr>
        <w:t xml:space="preserve">增加27,510,985.96元</w:t>
      </w:r>
      <w:r>
        <w:rPr>
          <w:rFonts w:eastAsia="仿宋_GB2312" w:hint="eastAsia"/>
          <w:sz w:val="30"/>
          <w:szCs w:val="30"/>
          <w:highlight w:val="none"/>
          <w:lang w:val="en-US" w:eastAsia="zh-CN"/>
        </w:rPr>
        <w:t xml:space="preserve">，主要原因是本单位是2025年新成立单位，无上年可比基数。</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2025年度一般公共预算财政拨款支出27,510,985.96元，主要用于以下方面：</w:t>
      </w:r>
      <w:r>
        <w:rPr>
          <w:rFonts w:eastAsia="仿宋_GB2312" w:hint="eastAsia"/>
          <w:sz w:val="30"/>
          <w:szCs w:val="30"/>
          <w:highlight w:val="none"/>
        </w:rPr>
        <w:t xml:space="preserve">一般公共服务支出（类）支出27,510,985.96元，占100.00%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2025年度一般公共预算财政拨款支出年初预算为10,376,300.00元，支出决算为27,510,985.96元</w:t>
      </w:r>
      <w:r>
        <w:rPr>
          <w:rFonts w:eastAsia="仿宋_GB2312" w:hint="eastAsia"/>
          <w:sz w:val="30"/>
          <w:szCs w:val="30"/>
          <w:highlight w:val="none"/>
          <w:lang w:val="en-US" w:eastAsia="zh-CN"/>
        </w:rPr>
        <w:t xml:space="preserve">，完成年初预算的265.13%</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100,000.00元，支出决算为25,000.00元，完成年初预算的25.00%，决算数小于年初预算数的主要原因是：部分项目未达到付款条件，整体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2.一般公共服务支出（类）商贸事务（款）行政运行（项）年初预算为9,276,300.00元，支出决算为8,150,249.11元，完成年初预算的87.86%，决算数小于年初预算数的主要原因是：从严管控一般性支出，压减非刚性支出。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商贸事务（款）招商引资（项）年初预算为1,000,000.00元，支出决算为474,746.85元，完成年初预算的47.47%，决算数小于年初预算数的主要原因是：从严管控招商相关支出，统筹整合招商推介活动，压减非必要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一般公共服务支出（类）商贸事务（款）其他商贸事务支出（项）年初预算为0.00元，支出决算为18,860,990.00元，决算数大于年初预算数的主要原因是：根据工作安排，年中追加消费券项目及二手车出口海外展销会项目经费预算并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天津经济技术开发区商务局2025年度一般公共预算财政拨款基本支出合计8,150,249.11元，与2024年度相比</w:t>
      </w:r>
      <w:r>
        <w:rPr>
          <w:rFonts w:eastAsia="仿宋_GB2312" w:hint="eastAsia"/>
          <w:sz w:val="30"/>
          <w:szCs w:val="30"/>
          <w:highlight w:val="none"/>
          <w:lang w:val="en-US" w:eastAsia="zh-CN"/>
        </w:rPr>
        <w:t xml:space="preserve">增加8,150,249.11元，</w:t>
      </w:r>
      <w:r>
        <w:rPr>
          <w:rFonts w:eastAsia="仿宋_GB2312" w:hint="eastAsia"/>
          <w:sz w:val="30"/>
          <w:szCs w:val="30"/>
          <w:highlight w:val="none"/>
          <w:lang w:val="en-US" w:eastAsia="zh-CN"/>
        </w:rPr>
        <w:t xml:space="preserve">主要原因是本单位是2025年新成立单位，无上年可比基数。</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人员经费7,922,893.00元，主要包括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公用经费227,356.11元，主要包括</w:t>
      </w:r>
      <w:r>
        <w:rPr>
          <w:rFonts w:eastAsia="仿宋_GB2312" w:hint="eastAsia"/>
          <w:sz w:val="30"/>
          <w:szCs w:val="30"/>
          <w:highlight w:val="none"/>
          <w:lang w:val="en-US" w:eastAsia="zh-CN"/>
        </w:rPr>
        <w:t xml:space="preserve">办公费、印刷费、手续费、水费、差旅费、因公出国（境）费用、维修(护)费、培训费、公务接待费、其他交通费用、其他商品和服务支出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37,695.00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22,777.91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减少14,917.09元</w:t>
      </w:r>
      <w:r>
        <w:rPr>
          <w:rFonts w:eastAsia="仿宋_GB2312" w:hint="eastAsia"/>
          <w:sz w:val="30"/>
          <w:szCs w:val="30"/>
          <w:highlight w:val="none"/>
          <w:lang w:val="en-US" w:eastAsia="zh-CN"/>
        </w:rPr>
        <w:t xml:space="preserve">，完成预算的60.43%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支出决算较上年增加22,777.91元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决算数小于预算数的主要原因是压减因公出国（境）费支出；</w:t>
      </w:r>
      <w:r>
        <w:rPr>
          <w:rFonts w:eastAsia="仿宋_GB2312" w:hint="eastAsia"/>
          <w:sz w:val="30"/>
          <w:szCs w:val="30"/>
          <w:highlight w:val="none"/>
          <w:lang w:val="en-US" w:eastAsia="zh-CN"/>
        </w:rPr>
        <w:t xml:space="preserve">决算数较上年增加的主要原因是本单位是2025年新成立单位，本年度因实际工作需要发生因公出国（境）任务，故因公出国（境）费较上年增加。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36,815.00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21,897.91</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减少14,917.09元</w:t>
      </w:r>
      <w:r>
        <w:rPr>
          <w:rFonts w:eastAsia="仿宋_GB2312" w:hint="eastAsia"/>
          <w:sz w:val="30"/>
          <w:szCs w:val="30"/>
          <w:highlight w:val="none"/>
          <w:lang w:val="en-US" w:eastAsia="zh-CN"/>
        </w:rPr>
        <w:t xml:space="preserve">，完成预算的59.48%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支出决算较上年增加21,897.91元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决算数小于预算数的主要原因是压减因公出国（境）费支出；</w:t>
      </w:r>
      <w:r>
        <w:rPr>
          <w:rFonts w:eastAsia="仿宋_GB2312" w:hint="eastAsia"/>
          <w:sz w:val="30"/>
          <w:szCs w:val="30"/>
          <w:highlight w:val="none"/>
          <w:lang w:val="en-US" w:eastAsia="zh-CN"/>
        </w:rPr>
        <w:t xml:space="preserve">决算数较上年增加的主要原因是本单位是2025年新成立单位，本年度因实际工作需要发生因公出国（境）任务，故因公出国（境）费较上年增加。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880.00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880.00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支出决算较上年增加880.00元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决算数较上年增加的主要原因是本单位为2025年新成立，本年度因实际工作需要发生必要的公务接待任务，故公务接待费较上年增加。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7</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商务局2025年度机关运行经费年初预算366,400.00元，决算数227,356.11元，与年初预算相比</w:t>
      </w:r>
      <w:r>
        <w:rPr>
          <w:rFonts w:eastAsia="仿宋_GB2312" w:hint="eastAsia"/>
          <w:sz w:val="30"/>
          <w:szCs w:val="30"/>
          <w:highlight w:val="none"/>
          <w:lang w:val="en-US" w:eastAsia="zh-CN"/>
        </w:rPr>
        <w:t xml:space="preserve">减少139,043.89元，</w:t>
      </w:r>
      <w:r>
        <w:rPr>
          <w:rFonts w:eastAsia="仿宋_GB2312" w:hint="eastAsia"/>
          <w:sz w:val="30"/>
          <w:szCs w:val="30"/>
          <w:highlight w:val="none"/>
          <w:lang w:val="en-US" w:eastAsia="zh-CN"/>
        </w:rPr>
        <w:t xml:space="preserve">完成年初预算的62.05%；</w:t>
      </w:r>
      <w:r>
        <w:rPr>
          <w:rFonts w:eastAsia="仿宋_GB2312" w:hint="eastAsia"/>
          <w:sz w:val="30"/>
          <w:szCs w:val="30"/>
          <w:highlight w:val="none"/>
          <w:lang w:val="en-US" w:eastAsia="zh-CN"/>
        </w:rPr>
        <w:t xml:space="preserve">比2024年增加227,356.11元</w:t>
      </w:r>
      <w:r>
        <w:rPr>
          <w:rFonts w:eastAsia="仿宋_GB2312" w:hint="eastAsia"/>
          <w:sz w:val="30"/>
          <w:szCs w:val="30"/>
          <w:highlight w:val="none"/>
          <w:lang w:val="en-US" w:eastAsia="zh-CN"/>
        </w:rPr>
        <w:t xml:space="preserve">。主要原因是：本年度优化调整部分公务活动，从严从紧管控一般性支出，故决算数较年初预算数减少。本单位为2025年新成立单位，上年无基数，故所有支出均为新增。</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天津经济技术开发区商务局2025年度无国有资产占有使用情况。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根据预算绩效管理要求,天津经济技术开发区商务局已对6个2025年度区级项目开展绩效自评,涉及金额21,146,230.00元，自评结果已随部门决算一并公开。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天津经济技术开发区商务局不属于乡、镇、街级单位，不涉及公开2025年度教育、医疗卫生、社会保障和就业、住房保障、涉农补贴等民生支出情况。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EF18FFA-9CB5-42FA-AC06-1FB53CD649E1}"/>
    <w:embedBold r:id="rId2" w:subsetted="1" w:fontKey="{C612C25F-5B65-4319-8B02-A1979A3D7B37}"/>
  </w:font>
  <w:font w:name="Cambria">
    <w:panose1 w:val="02040503050406030204"/>
    <w:charset w:val="00"/>
    <w:family w:val="roman"/>
    <w:pitch w:val="default"/>
    <w:sig w:usb0="E00006FF" w:usb1="420024FF" w:usb2="02000000" w:usb3="00000000" w:csb0="2000019F" w:csb1="00000000"/>
    <w:embedRegular r:id="rId3" w:fontKey="{1A8770A9-DDC1-4467-9F5C-E5C1F8E6BB0B}"/>
  </w:font>
  <w:font w:name="Calibri">
    <w:panose1 w:val="020F0502020204030204"/>
    <w:charset w:val="00"/>
    <w:family w:val="swiss"/>
    <w:pitch w:val="default"/>
    <w:sig w:usb0="E4002EFF" w:usb1="C200247B" w:usb2="00000009" w:usb3="00000000" w:csb0="200001FF" w:csb1="00000000"/>
    <w:embedRegular r:id="rId4" w:fontKey="{6013EEEB-1D24-416C-8E92-37D297E132BC}"/>
  </w:font>
  <w:font w:name="黑体">
    <w:panose1 w:val="02010609060101010101"/>
    <w:charset w:val="FFFFFF86"/>
    <w:family w:val="auto"/>
    <w:pitch w:val="default"/>
    <w:sig w:usb0="800002BF" w:usb1="38CF7CFA" w:usb2="00000016" w:usb3="00000000" w:csb0="00040001" w:csb1="00000000"/>
    <w:embedRegular r:id="rId5" w:subsetted="1" w:fontKey="{46D35B49-753F-4D73-9633-75318236B247}"/>
    <w:embedBold r:id="rId6" w:subsetted="1" w:fontKey="{00D4E6D6-BAFA-46F4-9F9C-678AA1844AF0}"/>
  </w:font>
  <w:font w:name="方正小标宋简体">
    <w:altName w:val="黑体"/>
    <w:panose1 w:val="02000000000000000000"/>
    <w:charset w:val="FFFFFF86"/>
    <w:family w:val="auto"/>
    <w:pitch w:val="default"/>
    <w:sig w:usb0="00000001" w:usb1="08000000" w:usb2="00000000" w:usb3="00000000" w:csb0="00040000" w:csb1="00000000"/>
    <w:embedRegular r:id="rId7" w:fontKey="{9C3EE28A-44FE-4BDC-84EF-A56183613C79}"/>
    <w:embedBold r:id="rId8" w:fontKey="{12A71734-D689-4E12-A848-57568EC46212}"/>
  </w:font>
  <w:font w:name="仿宋">
    <w:panose1 w:val="02010609060101010101"/>
    <w:charset w:val="FFFFFF86"/>
    <w:family w:val="auto"/>
    <w:pitch w:val="default"/>
    <w:sig w:usb0="800002BF" w:usb1="38CF7CFA" w:usb2="00000016" w:usb3="00000000" w:csb0="00040001" w:csb1="00000000"/>
    <w:embedRegular r:id="rId9" w:subsetted="1" w:fontKey="{9D56B94A-27B3-4987-9509-D96612ADC72C}"/>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10996145-DC48-4BD2-8DD5-ADF8D54435F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737FF8C3-D743-4808-8AD4-1A26766B1FDD}"/>
    <w:embedBold r:id="rId12" w:subsetted="1" w:fontKey="{BF4A7D67-8ACF-4C8F-80F8-2EA3A3B0C73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5</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27</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30</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