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天津经济技术开发区建设和交通局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15</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（1）贯彻执行有关城市建设、保障性住房、物业行业管理、人民防空、园林绿化、环境卫生、燃气、供热、水务、交通设施、道路桥梁的法律、法规、规章，制订有关政策、标准，并监督实施。 （2）组织编制城市建设、保障性住房、物业行业管理、人民防空、园林绿化、环境卫生、燃气、供热、水务、交通设施、道路桥梁等专项规划、中长期发展规划和发展战略。负责编制综合交通运输体系规划、中长期规划，组织或参与专项规划编制。 （3）负责城市建设、保障性住房、物业行业管理、人民防空、园林绿化、环境卫生、燃气、供热、水务、交通设施、道路桥梁的综合统计分析工作。 （4）负责城市建设、保障性住房、物业行业管理、人民防空、园林绿化、环境卫生、燃气、供热、水务、交通设施、道路桥梁行业数字化、智慧化建设工作及新技术、新工艺、新材料、新设备应用推广和成果转化。 （5）负责区域园林绿化、环境卫生、燃气、供热、水务、交通设施、道路桥梁等设施运行、养护监管。编制基础设施年度建设计划，会同各相关单位编制经开区（除泰达街范围）整体公用事业预算，并组织实施。 （6）负责住房和建设领域科技、教育和信息化建设工作。承担推进科技进步和成果转化工作；负责推广建筑节能、绿色建筑和装配式建筑、海绵城市发展工作，会同有关部门拟订相关政策并组织实施。 （7）负责房屋建筑和市政基础设施工程（轨道交通和跨区城市基础设施等线性工程除外）施工图审查的监督管理工作。 （8）监督指导已建成交付使用房屋的安全管理（村民自建房屋除外）。负责公产房屋（机关事务中心管理房产除外）资产的监督管理。 （9）负责房地产开发行业管理。贯彻落实房地产业发展规划和产业政策。指导推动住宅项目非经营性公建配套建设。负责房地产转让、房屋租赁等交易行为的监督管理。负责房地产中介服务机构管理。负责房地产市场监测分析。 （10）负责物业管理活动的监督管理。负责房屋共用部位、共用设施设备维修资金归集和使用管理。 （11）配合开展人民防空法律、法规和人民防空知识的宣传教育工作。 （12）负责辖区特殊建设工程消防设计审查；负责辖区建设工程消防验收、备案和抽查。 （13）负责相关园区的园林绿化、市容市貌、环境卫生、燃气、供热、道路桥梁相关城市管理工作。 （14）负责公园管理，负责园林绿化行业管理，负责城市园林绿化设施建设、养护和管理。 （15）负责组织全区全民义务植树工作。配合审批部门进行树木迁移、占用绿地审批工作。 （16）负责全区（除泰达街辖区外）环境卫生的组织管理和监督检查工作。负责环境卫生设施建设管理，负责环境卫生行业管理。 （17）负责全区（除泰达街辖区外）生活废弃物清扫、收集、运输和处置的统一监督管理。 （18）负责保障水资源的合理开发利用。负责生活、生产经营和生态环境用水的统筹和保障，组织企业和住宅小区供排水配套管网建设。组织实施最严格水资源管理制度，实施水资源的统一监督管理。负责本区的水资源调度。 （19）负责节约用水工作。拟订节约用水政策，组织编制节约用水规划并监督实施，组织实施有关标准。组织实施用水总量控制等管理制度，指导和推动节水型社会建设工作。 （20）负责水务设施、水域及其岸线的管理、保护与综合利用。组织水务基础设施建设和运维。组织重要河湖及河口的治理、开发和保护。负责河湖水生态保护与修复、河湖生态流量水量管理以及河湖水系连通工作。 （21）承担经开区河湖长制办公室职责。负责落实天津市、新区河长办交办的任务，落实经开区总河长会议、河长工作会的决策部署，落实总河长交办的事项。组织编制“一河（湖）一策”实施方案，拟定河长制工作相关制度和考核办法。组织编制河长工作清单和年度任务。监督、协调各项任务落实，并对总河长交办的事项进行跟踪督办。对各园区河长制工作开展情况进行督察和考核。 （22）负责水土保持工作。组织实施水土流失的综合防治、监测预报并定期公告。负责建设项目水土保持监督管理工作，指导重点水土保持建设项目的实施。 （23）负责城市供水、排水相关管理工作，并承担相应的监管责任。负责城市供水、排水、再生水和污水处理的行业管理工作。指导协调供水、排水管理工作。 （24）负责落实城市内涝治理和汛期排水相关工作，组织编制经开区排水方案并组织实施。负责防汛物资管理，承担防御洪水应急抢险的技术支撑工作。做好供水、供气、供热、园林绿化、环卫扫保、道路桥梁、景观照明等城市基础设施的汛期安全防护和应急抢修工作。 （25）负责供水、排水、污水处理的特许经营管理，负责再生水处理与利用的特许经营管理。 （26）负责水政监察和水行政执法，负责水行政执法队伍建设，依法查处涉水违法行政案件。依法负责水务行业安全生产监督管理工作。 （27）负责推进综合交通运输体系建设，统筹规划公路、水路行业发展。 （28）负责交通运输行业的合作交流工作。推进交通运输行业精神文明建设。指导交通运输行业职业技能培训工作。指导交通运输行业相关协会、学会的工作。 （29）负责配合新区交通运输部门做好跨区域交通工程项目统筹、建设与协调。 （30）负责本领域安全生产管理工作。 （31）贯彻落实本部门全面从严治党主体责任，严格落实基层党建工作任务，发挥党组织战斗堡垒作用和党员先锋模范作用。 （32）承办党委、管委会交办的其他事项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天津经济技术开发区建设和交通局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天津经济技术开发区建设和交通局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1390182943.69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377800.00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413257469.80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222289147.00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1206437071.59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11593700.00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10137188.90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352605506.00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1803440413.49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1803440413.49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1803440413.49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1803440413.49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1803440413.49</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1803440413.49</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377800.00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377800.00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377800.00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377800.00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377800.00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377800.00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节能环保支出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222289147.00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222289147.00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污染防治</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200689147.00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200689147.00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水体</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200689147.00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200689147.00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21600000.00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21600000.00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2119899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其他节能环保支出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21600000.00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21600000.00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1206437071.59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1206437071.59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19044893.00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19044893.00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12801878.00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12801878.00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6243015.00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6243015.00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城乡社区公共设施</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1148340214.79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1148340214.79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其他城乡社区公共设施支出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1148340214.79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1148340214.79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国有土地使用权出让收入安排的支出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2120816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农业农村生态环境支出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21214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污水处理费安排的支出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2121401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污水处理设施建设和运营</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18501963.80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18501963.80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2129801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城乡社区公共设施</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4001963.80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4001963.80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2129899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住房保障支出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11593700.00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11593700.00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保障性安居工程支出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11593700.00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11593700.00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2210111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配租型住房保障</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11593700.00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11593700.00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10137188.90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10137188.90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安全监管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自然灾害救灾及恢复重建支出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9641188.90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9641188.90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2240704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自然灾害灾后重建补助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9641188.90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9641188.90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352605506.00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352605506.00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352605506.00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352605506.00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352605506.00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352605506.00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天津经济技术开发区建设和交通局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1803440413.49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1803440413.49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1390182943.69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413257469.80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325101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天津经济技术开发区建设和交通局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1803440413.49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1803440413.49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1390182943.69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413257469.80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天津经济技术开发区建设和交通局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325101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天津经济技术开发区建设和交通局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1803440413.49</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12801878.00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1790638535.49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377800.00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377800.00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377800.00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377800.00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377800.00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377800.00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节能环保支出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222289147.00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222289147.00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污染防治</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200689147.00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200689147.00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水体</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200689147.00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200689147.00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超长期特别国债安排的支出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21600000.00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21600000.00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2119899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其他节能环保支出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21600000.00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21600000.00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1206437071.59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12801878.00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1193635193.59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19044893.00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12801878.00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6243015.00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12801878.00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12801878.00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6243015.00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6243015.00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城乡社区公共设施</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1148340214.79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1148340214.79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其他城乡社区公共设施支出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1148340214.79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1148340214.79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国有土地使用权出让收入安排的支出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农业农村生态环境支出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21214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污水处理费安排的支出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2121401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污水处理设施建设和运营</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超长期特别国债安排的支出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18501963.80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18501963.80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2129801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城乡社区公共设施</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4001963.80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4001963.80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2129899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14500000.00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14500000.00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住房保障支出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11593700.00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11593700.00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保障性安居工程支出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11593700.00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11593700.00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2210111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配租型住房保障</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11593700.00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11593700.00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10137188.90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10137188.90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安全监管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496000.00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自然灾害救灾及恢复重建支出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9641188.90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9641188.90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2240704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自然灾害灾后重建补助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9641188.90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9641188.90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352605506.00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352605506.00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其他政府性基金及对应专项债务收入安排的支出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352605506.00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352605506.00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其他地方自行试点项目收益专项债券收入安排的支出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352605506.00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352605506.00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1390182943.69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377800.00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377800.00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413257469.80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222289147.00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200689147.00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21600000.00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1206437071.59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1167385107.79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39051963.80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11593700.00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11593700.00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10137188.90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10137188.90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352605506.00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352605506.00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1803440413.49</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1803440413.49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1390182943.69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413257469.80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1803440413.49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1803440413.49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1390182943.69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413257469.80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天津经济技术开发区建设和交通局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1390182943.69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12801878.00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12426734.21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375143.79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1377381065.69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377800.00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377800.00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377800.00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377800.00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377800.00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377800.00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节能环保支出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200689147.00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200689147.00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污染防治</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200689147.00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200689147.00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水体</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200689147.00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200689147.00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1167385107.79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12801878.00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12426734.21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375143.79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1154583229.79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19044893.00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12801878.00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12426734.21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375143.79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6243015.00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12801878.00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12801878.00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12426734.21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375143.79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6243015.00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6243015.00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城乡社区公共设施</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1148340214.79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1148340214.79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其他城乡社区公共设施支出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1148340214.79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1148340214.79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住房保障支出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11593700.00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11593700.00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保障性安居工程支出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11593700.00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11593700.00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2210111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配租型住房保障</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11593700.00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11593700.00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10137188.90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10137188.90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496000.00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安全监管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496000.00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自然灾害救灾及恢复重建支出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9641188.90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9641188.90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2240704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自然灾害灾后重建补助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9641188.90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9641188.90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12399734.21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375143.79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2435062.04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50849.57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5834712.75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677.60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623795.20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311897.60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389872.00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29443.50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27560.62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2776834.00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172900.00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61373.12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12426734.21</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375143.79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413257469.80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413257469.80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413257469.80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节能环保支出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2119899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其他节能环保支出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39051963.80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39051963.80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39051963.80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国有土地使用权出让收入安排的支出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2120801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征地和拆迁补偿支出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2120803</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城市建设支出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2120816</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农业农村生态环境支出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21214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污水处理费安排的支出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2121401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污水处理设施建设和运营</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18501963.80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18501963.80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18501963.80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2129801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城乡社区公共设施</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4001963.80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2129899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其他城乡社区支出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其他政府性基金及对应专项债务收入安排的支出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2290402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其他地方自行试点项目收益专项债券收入安排的支出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天津经济技术开发区建设和交通局2025年度国有资本经营预算财政拨款收入支出决算表为空表。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天津经济技术开发区建设和交通局2025年财政拨款“三公”经费支出决算表为空表。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天津经济技术开发区建设和交通局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1790638535.49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1377381065.69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413257469.80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377800.00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节能环保支出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222289147.00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200689147.00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污染防治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200689147.00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200689147.00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水体</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200689147.00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200689147.00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2119899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其他节能环保支出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1193635193.59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1154583229.79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39051963.80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6243015.00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6243015.00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2120102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6243015.00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6243015.00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城乡社区公共设施</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1148340214.79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1148340214.79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其他城乡社区公共设施支出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1148340214.79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1148340214.79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国有土地使用权出让收入安排的支出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2120816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农业农村生态环境支出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21214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污水处理费安排的支出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2121401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污水处理设施建设和运营</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18501963.80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18501963.80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2129801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城乡社区公共设施</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4001963.80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4001963.80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2129899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住房保障支出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11593700.00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11593700.00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22101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保障性安居工程支出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11593700.00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11593700.00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2210111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配租型住房保障</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11593700.00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11593700.00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10137188.90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10137188.90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安全监管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自然灾害救灾及恢复重建支出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9641188.90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9641188.90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自然灾害灾后重建补助</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9641188.90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9641188.90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其他政府性基金及对应专项债务收入安排的支出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其他地方自行试点项目收益专项债券收入安排的支出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352605506.00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1,803,440,413.49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减少157,931,112.15元，下降8.05%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城市养护运维、能源补贴、交通运输补贴类项目减少，本年度整体收支较上年度减少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一般公共预算财政拨款收入1,390,182,943.69元、政府性基金预算财政拨款收入413,257,469.80元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一般公共服务支出377,800.00元、节能环保支出222,289,147.00元、城乡社区支出1,206,437,071.59元、住房保障支出11,593,700.00元、灾害防治及应急管理支出10,137,188.90元、其他支出352,605,506.00元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天津经济技术开发区建设和交通局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1,803,440,413.49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减少157,931,112.15元，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城市养护运维、能源补贴、交通运输补贴类项目减少，本年度收入较上年度减少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一般公共预算财政拨款收入1,390,182,943.69元，占77.09%；政府性基金预算财政拨款收入413,257,469.80元，占22.91%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天津经济技术开发区建设和交通局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1,803,440,413.49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减少157,931,112.15元，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城市养护运维、能源补贴、交通运输补贴类项目减少，本年度支出较上年度减少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基本支出12,801,878.00元，占0.71%；项目支出1,790,638,535.49元，占99.29%</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1,803,440,413.49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减少157,931,112.15元，下降8.05%，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城市养护运维、能源补贴、交通运输补贴类项目减少，导致本年度财政拨款收、支减少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一般公共预算财政拨款1,390,182,943.69元、政府性基金预算财政拨款413,257,469.80元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一般公共服务支出377,800.00元、节能环保支出222,289,147.00元、城乡社区支出1,206,437,071.59元、住房保障支出11,593,700.00元、灾害防治及应急管理支出10,137,188.90元、其他支出352,605,506.00元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天津经济技术开发区建设和交通局2025年度一般公共预算财政拨款支出合计1,390,182,943.69元，占本年支出合计的77.09%。与2024年度相比，一般公共预算财政拨款支出</w:t>
      </w:r>
      <w:r>
        <w:rPr>
          <w:rFonts w:eastAsia="仿宋_GB2312" w:hint="eastAsia"/>
          <w:sz w:val="30"/>
          <w:szCs w:val="30"/>
          <w:highlight w:val="none"/>
          <w:lang w:val="en-US" w:eastAsia="zh-CN"/>
        </w:rPr>
        <w:t xml:space="preserve">减少92,528,997.45元</w:t>
      </w:r>
      <w:r>
        <w:rPr>
          <w:rFonts w:eastAsia="仿宋_GB2312" w:hint="eastAsia"/>
          <w:sz w:val="30"/>
          <w:szCs w:val="30"/>
          <w:highlight w:val="none"/>
          <w:lang w:val="en-US" w:eastAsia="zh-CN"/>
        </w:rPr>
        <w:t xml:space="preserve">，下降6.24%</w:t>
      </w:r>
      <w:r>
        <w:rPr>
          <w:rFonts w:eastAsia="仿宋_GB2312" w:hint="eastAsia"/>
          <w:sz w:val="30"/>
          <w:szCs w:val="30"/>
          <w:highlight w:val="none"/>
          <w:lang w:val="en-US" w:eastAsia="zh-CN"/>
        </w:rPr>
        <w:t xml:space="preserve">，主要原因是城市养护运维、能源补贴、交通运输补贴等项目减少，导致本年度财政拨款支出减少。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2025年度一般公共预算财政拨款支出1,390,182,943.69元，主要用于以下方面：</w:t>
      </w:r>
      <w:r>
        <w:rPr>
          <w:rFonts w:eastAsia="仿宋_GB2312" w:hint="eastAsia"/>
          <w:sz w:val="30"/>
          <w:szCs w:val="30"/>
          <w:highlight w:val="none"/>
        </w:rPr>
        <w:t xml:space="preserve">一般公共服务支出（类）支出377,800.00元，占0.03%，节能环保支出（类）支出200,689,147.00元，占14.44%，城乡社区支出（类）支出1,167,385,107.79元，占83.97%，住房保障支出（类）支出11,593,700.00元，占0.83%，灾害防治及应急管理支出（类）支出10,137,188.90元，占0.73%</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2025年度一般公共预算财政拨款支出年初预算为1,197,382,288.90元，支出决算为1,390,182,943.69元</w:t>
      </w:r>
      <w:r>
        <w:rPr>
          <w:rFonts w:eastAsia="仿宋_GB2312" w:hint="eastAsia"/>
          <w:sz w:val="30"/>
          <w:szCs w:val="30"/>
          <w:highlight w:val="none"/>
          <w:lang w:val="en-US" w:eastAsia="zh-CN"/>
        </w:rPr>
        <w:t xml:space="preserve">，完成年初预算的116.10%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0.00元，支出决算为377,800.00元，决算数大于年初预算数的主要原因是：年中追加"十五五“规划编制”项目专项资金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节能环保支出（类）污染防治（款）水体（项）年初预算为167,200,000.00元，支出决算为200,689,147.00元，完成年初预算的120.03%，决算数大于年初预算数的主要原因是：年中追加污水处理费项目专项资金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城乡社区支出（类）城乡社区管理事务（款）行政运行（项）年初预算为15,485,100.00元，支出决算为12,801,878.00元，完成年初预算的82.67%，决算数小于年初预算数的主要原因是：因人员退休，人员经费和公用经费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城乡社区支出（类）城乡社区管理事务（款）一般行政管理事务（项）年初预算为2,400,000.00元，支出决算为6,243,015.00元，完成年初预算的260.13%，决算数大于年初预算数的主要原因是：年中追加泰达街居民供热补贴、绿色建筑及海绵城市建设管理、建设工程消防验收技术服务等项目专项资金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城乡社区支出（类）城乡社区公共设施（款）其他城乡社区公共设施支出（项）年初预算为1,002,000,000.00元，支出决算为1,148,340,214.79元，完成年初预算的114.60%，决算数大于年初预算数的主要原因是：年中追加供热补贴费和公共基础设施运维养护项目专项资金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6.住房保障支出（类）保障性安居工程支出（款）配租型住房保障（项）年初预算为0.00元，支出决算为11,593,700.00元，决算数大于年初预算数的主要原因是：追加上级保障安居工程专项资金预算并支出。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灾害防治及应急管理支出（类）应急管理事务（款）安全监管（项）年初预算为656,000.00元，支出决算为496,000.00元，完成年初预算的75.61%，决算数小于年初预算数的主要原因是：部分项目未完成预计工作量，项目未达到付款条件。</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灾害防治及应急管理支出（类）自然灾害救灾及恢复重建支出（款）自然灾害灾后重建补助（项）年初预算为9,641,188.90元，支出决算为9,641,188.90元，完成年初预算的100.00%，决算数与年初预算数持平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天津经济技术开发区建设和交通局2025年度一般公共预算财政拨款基本支出合计12,801,878.00元，与2024年度相比</w:t>
      </w:r>
      <w:r>
        <w:rPr>
          <w:rFonts w:eastAsia="仿宋_GB2312" w:hint="eastAsia"/>
          <w:sz w:val="30"/>
          <w:szCs w:val="30"/>
          <w:highlight w:val="none"/>
          <w:lang w:val="en-US" w:eastAsia="zh-CN"/>
        </w:rPr>
        <w:t xml:space="preserve">减少2,035,786.82元，</w:t>
      </w:r>
      <w:r>
        <w:rPr>
          <w:rFonts w:eastAsia="仿宋_GB2312" w:hint="eastAsia"/>
          <w:sz w:val="30"/>
          <w:szCs w:val="30"/>
          <w:highlight w:val="none"/>
          <w:lang w:val="en-US" w:eastAsia="zh-CN"/>
        </w:rPr>
        <w:t xml:space="preserve">主要原因是人员退休，人员经费减少。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人员经费12,426,734.21元，主要包括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基本工资、津贴补贴、机关事业单位基本养老保险缴费、职业年金缴费、职工基本医疗保险缴费、其他社会保障缴费、住房公积金、退休费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公用经费375,143.79元，主要包括</w:t>
      </w:r>
      <w:r>
        <w:rPr>
          <w:rFonts w:eastAsia="仿宋_GB2312" w:hint="eastAsia"/>
          <w:sz w:val="30"/>
          <w:szCs w:val="30"/>
          <w:highlight w:val="none"/>
          <w:lang w:val="en-US" w:eastAsia="zh-CN"/>
        </w:rPr>
        <w:t xml:space="preserve">办公费、印刷费、手续费、水费、邮电费、差旅费、培训费、委托业务费、其他交通费用、其他商品和服务支出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楷体" w:hint="eastAsia"/>
          <w:b/>
          <w:bCs/>
          <w:sz w:val="30"/>
          <w:szCs w:val="30"/>
          <w:highlight w:val="none"/>
          <w:lang w:val="en-US" w:eastAsia="zh-CN"/>
        </w:rPr>
      </w:pPr>
      <w:r>
        <w:rPr>
          <w:rFonts w:ascii="楷体" w:eastAsia="楷体" w:hAnsi="楷体" w:cs="楷体" w:hint="eastAsia"/>
          <w:b/>
          <w:bCs/>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天津经济技术开发区建设和交通局2025年度政府性基金预算财政拨款年初结转和结余0.00元，收入413,257,469.80元，支出413,257,469.80元，年末结转和结余0.00元。与2024年度相比，政府性基金预算财政拨款支出</w:t>
      </w:r>
      <w:r>
        <w:rPr>
          <w:rFonts w:eastAsia="仿宋_GB2312" w:hint="eastAsia"/>
          <w:sz w:val="30"/>
          <w:szCs w:val="30"/>
          <w:highlight w:val="none"/>
          <w:lang w:val="en-US" w:eastAsia="zh-CN"/>
        </w:rPr>
        <w:t xml:space="preserve">减少65,402,114.70元，</w:t>
      </w:r>
      <w:r>
        <w:rPr>
          <w:rFonts w:eastAsia="仿宋_GB2312" w:hint="eastAsia"/>
          <w:sz w:val="30"/>
          <w:szCs w:val="30"/>
          <w:highlight w:val="none"/>
          <w:lang w:val="en-US" w:eastAsia="zh-CN"/>
        </w:rPr>
        <w:t xml:space="preserve">下降13.66%，</w:t>
      </w:r>
      <w:r>
        <w:rPr>
          <w:rFonts w:eastAsia="仿宋_GB2312" w:hint="eastAsia"/>
          <w:sz w:val="30"/>
          <w:szCs w:val="30"/>
          <w:highlight w:val="none"/>
          <w:lang w:val="en-US" w:eastAsia="zh-CN"/>
        </w:rPr>
        <w:t xml:space="preserve">主要原因是城市建设支出项目减少，所以政府预算整体收支较上年度减少。</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2025年度政府性基金预算财政拨款支出413,257,469.80元，主要用于以下方面：</w:t>
      </w:r>
      <w:r>
        <w:rPr>
          <w:rFonts w:eastAsia="仿宋_GB2312" w:hint="eastAsia"/>
          <w:sz w:val="28"/>
          <w:szCs w:val="28"/>
          <w:highlight w:val="none"/>
        </w:rPr>
        <w:t xml:space="preserve">节能环保支出（类）支出21,600,000.00元，占5.23%，城乡社区支出（类）支出39,051,963.80元，占9.45%，其他支出（类）支出352,605,506.00元，占85.32%</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2025年度政府性基金预算财政拨款支出年初预算为984,751,963.80元，支出决算为413,257,469.80元</w:t>
      </w:r>
      <w:r>
        <w:rPr>
          <w:rFonts w:eastAsia="仿宋_GB2312" w:hint="eastAsia"/>
          <w:sz w:val="30"/>
          <w:szCs w:val="30"/>
          <w:highlight w:val="none"/>
          <w:lang w:val="en-US" w:eastAsia="zh-CN"/>
        </w:rPr>
        <w:t xml:space="preserve">，完成年初预算的41.97%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节能环保支出（类）超长期特别国债安排的支出（款）其他节能环保支出（项）年初预算为0.00元，支出决算为21,600,000.00元，决算数大于年初预算数的主要原因是：年中追加上级节能改造项目专项资金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城乡社区支出（类）国有土地使用权出让收入安排的支出（款）征地和拆迁补偿支出（项）年初预算为15,000,000.00元，支出决算为0.00元，决算数小于年初预算数的主要原因是：项目未达到支付条件，致使基金预算执行率低。</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3.城乡社区支出（类）国有土地使用权出让收入安排的支出（款）城市建设支出（项）年初预算为53,480,000.00元，支出决算为0.00元，决算数小于年初预算数的主要原因是：因项目未达到支付条件，项目预算调出。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城乡社区支出（类）国有土地使用权出让收入安排的支出（款）农业农村生态环境支出（项）年初预算为0.00元，支出决算为550,000.00元，决算数大于年初预算数的主要原因是：年中收到上级拨付河长制奖励资金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城乡社区支出（类）污水处理费安排的支出（款）污水处理设施建设和运营（项）年初预算为20,000,000.00元，支出决算为20,000,000.00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城乡社区支出（类）超长期特别国债安排的支出（款）城乡社区公共设施（项）年初预算为4,001,963.80元，支出决算为4,001,963.80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城乡社区支出（类）超长期特别国债安排的支出（款）其他城乡社区支出（项）年初预算为0.00元，支出决算为14,500,000.00元，决算数大于年初预算数的主要原因是：年中追加环卫领域淘汰落后产能提效降碳项目超长期国债项目专项资金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其他支出（类）其他政府性基金及对应专项债务收入安排的支出（款）其他地方自行试点项目收益专项债券收入安排的支出（项）年初预算为892,270,000.00元，支出决算为352,605,506.00元，完成年初预算的39.52%，决算数小于年初预算数的主要原因是：中关村科技园项目未达到合同约定付款条件，因此项目决算支出较年初预算数减少。</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建设和交通局2025年度机关运行经费年初预算501,900.00元，决算数375,143.79元，与年初预算相比</w:t>
      </w:r>
      <w:r>
        <w:rPr>
          <w:rFonts w:eastAsia="仿宋_GB2312" w:hint="eastAsia"/>
          <w:sz w:val="30"/>
          <w:szCs w:val="30"/>
          <w:highlight w:val="none"/>
          <w:lang w:val="en-US" w:eastAsia="zh-CN"/>
        </w:rPr>
        <w:t xml:space="preserve">减少126,756.21元，</w:t>
      </w:r>
      <w:r>
        <w:rPr>
          <w:rFonts w:eastAsia="仿宋_GB2312" w:hint="eastAsia"/>
          <w:sz w:val="30"/>
          <w:szCs w:val="30"/>
          <w:highlight w:val="none"/>
          <w:lang w:val="en-US" w:eastAsia="zh-CN"/>
        </w:rPr>
        <w:t xml:space="preserve">完成年初预算的74.74%；</w:t>
      </w:r>
      <w:r>
        <w:rPr>
          <w:rFonts w:eastAsia="仿宋_GB2312" w:hint="eastAsia"/>
          <w:sz w:val="30"/>
          <w:szCs w:val="30"/>
          <w:highlight w:val="none"/>
          <w:lang w:val="en-US" w:eastAsia="zh-CN"/>
        </w:rPr>
        <w:t xml:space="preserve">比2024年减少34,751.18元</w:t>
      </w:r>
      <w:r>
        <w:rPr>
          <w:rFonts w:eastAsia="仿宋_GB2312" w:hint="eastAsia"/>
          <w:sz w:val="30"/>
          <w:szCs w:val="30"/>
          <w:highlight w:val="none"/>
          <w:lang w:val="en-US" w:eastAsia="zh-CN"/>
        </w:rPr>
        <w:t xml:space="preserve">，下降8.48%</w:t>
      </w:r>
      <w:r>
        <w:rPr>
          <w:rFonts w:eastAsia="仿宋_GB2312" w:hint="eastAsia"/>
          <w:sz w:val="30"/>
          <w:szCs w:val="30"/>
          <w:highlight w:val="none"/>
          <w:lang w:val="en-US" w:eastAsia="zh-CN"/>
        </w:rPr>
        <w:t xml:space="preserve">。主要原因是：严控支出，压减非刚性支出。</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建设和交通局2025年政府采购支出总额20,525,056.73元，其中：政府采购货物支出0.00元、政府采购工程支出2,950,096.73元、政府采购服务支出17,574,960.00元。授予中小企业合同金额16,378,956.73元，占政府采购支出总额的79.80%，其中：授予小微企业合同金额13,377,176.73元，占政府采购支出总额的65.17%；货物采购授予中小企业合同金额占货物支出金额的0.00%，工程采购授予中小企业合同金额占工程支出金额的0.00%，服务采购授予中小企业合同金额占服务支出金额的93.19%。</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截至2025年12月31日，天津经济技术开发区建设和交通局共有车辆0辆</w:t>
      </w:r>
      <w:r>
        <w:rPr>
          <w:rFonts w:eastAsia="仿宋_GB2312" w:hint="eastAsia"/>
          <w:sz w:val="30"/>
          <w:szCs w:val="30"/>
          <w:highlight w:val="none"/>
          <w:lang w:val="en-US" w:eastAsia="zh-CN"/>
        </w:rPr>
        <w:t xml:space="preserve">。单价100万元以上的设备2台（套）。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根据预算绩效管理要求,天津经济技术开发区建设和交通局已对162个2025年度区级项目开展绩效自评，涉及金额1,794,065,116.15元，自评结果已随部门决算一并公开。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天津经济技术开发区建设和交通局不属于乡、镇、街级单位,不涉及公开2025年度教育、医疗卫生、社会保障和就业、住房保障、涉农补贴等民生支出情况。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7245218E-58A4-4621-B45C-9A7A0E954B2E}"/>
    <w:embedBold r:id="rId2" w:subsetted="1" w:fontKey="{725AB1FA-10B2-4905-97F1-CBCE5B943124}"/>
  </w:font>
  <w:font w:name="Cambria">
    <w:panose1 w:val="02040503050406030204"/>
    <w:charset w:val="00"/>
    <w:family w:val="roman"/>
    <w:pitch w:val="default"/>
    <w:sig w:usb0="E00006FF" w:usb1="420024FF" w:usb2="02000000" w:usb3="00000000" w:csb0="2000019F" w:csb1="00000000"/>
    <w:embedRegular r:id="rId3" w:fontKey="{67045DE6-8567-4378-9F86-6AB41926916C}"/>
  </w:font>
  <w:font w:name="Calibri">
    <w:panose1 w:val="020F0502020204030204"/>
    <w:charset w:val="00"/>
    <w:family w:val="swiss"/>
    <w:pitch w:val="default"/>
    <w:sig w:usb0="E4002EFF" w:usb1="C200247B" w:usb2="00000009" w:usb3="00000000" w:csb0="200001FF" w:csb1="00000000"/>
    <w:embedRegular r:id="rId4" w:fontKey="{205C1A22-5F39-4C10-A098-0AA0E9720A3D}"/>
  </w:font>
  <w:font w:name="黑体">
    <w:panose1 w:val="02010609060101010101"/>
    <w:charset w:val="FFFFFF86"/>
    <w:family w:val="auto"/>
    <w:pitch w:val="default"/>
    <w:sig w:usb0="800002BF" w:usb1="38CF7CFA" w:usb2="00000016" w:usb3="00000000" w:csb0="00040001" w:csb1="00000000"/>
    <w:embedRegular r:id="rId5" w:subsetted="1" w:fontKey="{1020122C-34EF-4110-B9E8-E1A6E53C5799}"/>
    <w:embedBold r:id="rId6" w:subsetted="1" w:fontKey="{1E21F0FA-DA12-468B-B4E9-1E7517B32288}"/>
  </w:font>
  <w:font w:name="方正小标宋简体">
    <w:altName w:val="黑体"/>
    <w:panose1 w:val="02000000000000000000"/>
    <w:charset w:val="FFFFFF86"/>
    <w:family w:val="auto"/>
    <w:pitch w:val="default"/>
    <w:sig w:usb0="00000001" w:usb1="08000000" w:usb2="00000000" w:usb3="00000000" w:csb0="00040000" w:csb1="00000000"/>
    <w:embedRegular r:id="rId7" w:fontKey="{3EB200DB-671C-4DCE-945D-F8CD65232EEF}"/>
    <w:embedBold r:id="rId8" w:fontKey="{7B7FC43F-AAD7-44D5-81F8-33FA3E434A2B}"/>
  </w:font>
  <w:font w:name="仿宋">
    <w:panose1 w:val="02010609060101010101"/>
    <w:charset w:val="FFFFFF86"/>
    <w:family w:val="auto"/>
    <w:pitch w:val="default"/>
    <w:sig w:usb0="800002BF" w:usb1="38CF7CFA" w:usb2="00000016" w:usb3="00000000" w:csb0="00040001" w:csb1="00000000"/>
    <w:embedRegular r:id="rId9" w:subsetted="1" w:fontKey="{BF1E5042-5B08-4006-A321-07479449687E}"/>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5DBF0631-66C6-49E2-88C9-6857C78699B4}"/>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4E7055DF-4B5A-4391-8AA9-A66D94A9CF3C}"/>
    <w:embedBold r:id="rId12" w:subsetted="1" w:fontKey="{69BE2351-5EC7-48A7-8E5D-2B829A8E761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11</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39</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42</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