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天津经济技术开发区建设工程管理中心</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8</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天津经济技术开发区建设工程管理中心</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贯彻执行国家和本市有关建设管理的法律法规和方针政策；办理竣工验收和竣工备案；监督管理经开区建设工程招投标活动；对经开区建设工程的施工进行安全质量监督管理等</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天津经济技术开发区建设工程管理中心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部门本级（内设7个职能科室）。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天津经济技术开发区建设工程管理中心</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14587940.47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14187940.47</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r>
              <w:rPr>
                <w:rFonts w:ascii="Times New Roman" w:eastAsia="宋体" w:hAnsi="Times New Roman" w:cs="Times New Roman" w:hint="default"/>
                <w:i w:val="0"/>
                <w:iCs w:val="0"/>
                <w:color w:val="000000"/>
                <w:kern w:val="0.0"/>
                <w:sz w:val="20"/>
                <w:szCs w:val="20"/>
                <w:u w:val="none"/>
                <w:lang w:val="en-US" w:eastAsia="zh-CN"/>
              </w:rPr>
              <w:t xml:space="preserve">400000.00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14587940.47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14587940.47</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14587940.47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14587940.47</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天津经济技术开发区建设工程管理中心</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14587940.47</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14587940.47</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城乡社区支出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14187940.47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14187940.47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建设市场管理与监督</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14187940.47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14187940.47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2120601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建设市场管理与监督</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14187940.47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14187940.47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灾害防治及应急管理支出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应急管理事务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2240106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安全监管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天津经济技术开发区建设工程管理中心</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14587940.47</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14587940.47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14587940.47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671201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天津经济技术开发区建设工程管理中心</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14587940.47</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14587940.47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14587940.47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天津经济技术开发区建设工程管理中心</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671201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天津经济技术开发区建设工程管理中心</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天津经济技术开发区建设工程管理中心</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14587940.47</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10194131.77</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4393808.70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城乡社区支出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14187940.47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10194131.77</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3993808.70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建设市场管理与监督</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14187940.47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10194131.77</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3993808.70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2120601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建设市场管理与监督</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14187940.47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10194131.77</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3993808.70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灾害防治及应急管理支出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应急管理事务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2240106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安全监管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天津经济技术开发区建设工程管理中心</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14587940.47</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14187940.47</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14187940.47</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400000.00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400000.00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14587940.47</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14587940.47</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14587940.47</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14587940.47</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14587940.47</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14587940.47</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天津经济技术开发区建设工程管理中心</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14587940.47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10194131.77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9874663.11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319468.66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4393808.70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城乡社区支出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14187940.47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10194131.77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9874663.11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319468.66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3993808.70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建设市场管理与监督</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14187940.47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10194131.77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9874663.11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319468.66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3993808.70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2120601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建设市场管理与监督</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14187940.47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10194131.77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9874663.11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319468.66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3993808.70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灾害防治及应急管理支出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应急管理事务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2240106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安全监管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400000.00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天津经济技术开发区建设工程管理中心</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9874663.11</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317661.66</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1966918.57</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40424.09</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1807.00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4559836.10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22900.00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1807.00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508563.20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24730.27</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254281.60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317852.00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18957.50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22249.64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2244962.00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145100.00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51349.80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9874663.11</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319468.66</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天津经济技术开发区建设工程管理中心</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天津经济技术开发区建设工程管理中心2025年度政府性基金预算财政拨款收入支出决算表为空表。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天津经济技术开发区建设工程管理中心</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天津经济技术开发区建设工程管理中心2025年度国有资本经营预算财政拨款收入支出决算表为空表。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天津经济技术开发区建设工程管理中心</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天津经济技术开发区建设工程管理中心2025年财政拨款“三公”经费支出决算表为空表。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天津经济技术开发区建设工程管理中心</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4393808.70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4393808.70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城乡社区支出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3993808.70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3993808.70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建设市场管理与监督</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3993808.70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3993808.70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2120601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建设市场管理与监督</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3993808.70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3993808.70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灾害防治及应急管理支出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应急管理事务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2240106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安全监管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天津经济技术开发区建设工程管理中心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14,587,940.47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减少1,343,718.06元，下降8.43%</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本年度因有人员退休，导致人员经费减少，同时部分项目工作量有所调整，因此本年度整体收入、支出较上年减少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一般公共预算财政拨款收入14,587,940.47元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bookmarkStart w:id="17" w:name="_Toc6621"/>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城乡社区支出14,187,940.47元、灾害防治及应急管理支出400,000.00元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天津经济技术开发区建设工程管理中心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14,587,940.47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减少1,343,718.06元，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本年度因有人员退休，导致人员经费减少，同时部分项目工作量有所调整，因此本年度整体收入较上年减少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一般公共预算财政拨款收入14,587,940.47元，占100.00%</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天津经济技术开发区建设工程管理中心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14,587,940.47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减少1,343,718.06元，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本年度因有人员退休，导致人员经费减少，同时部分项目工作量有所调整，因此本年度整体支出较上年减少</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基本支出10,194,131.77元，占69.88%；项目支出4,393,808.70元，占30.12%</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天津经济技术开发区建设工程管理中心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14,587,940.47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减少1,343,718.06元，下降8.43%，</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本年度因有人员退休，导致人员经费减少，同时部分项目工作量有所调整，因此本年度整体财政拨款收入、支出较上年减少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一般公共预算财政拨款14,587,940.47元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城乡社区支出14,187,940.47元、灾害防治及应急管理支出400,000.00元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天津经济技术开发区建设工程管理中心2025年度一般公共预算财政拨款支出合计14,587,940.47元，占本年支出合计的100.00%。与2024年度相比，一般公共预算财政拨款支出</w:t>
      </w:r>
      <w:r>
        <w:rPr>
          <w:rFonts w:eastAsia="仿宋_GB2312" w:hint="eastAsia"/>
          <w:sz w:val="30"/>
          <w:szCs w:val="30"/>
          <w:highlight w:val="none"/>
          <w:lang w:val="en-US" w:eastAsia="zh-CN"/>
        </w:rPr>
        <w:t xml:space="preserve">减少1,343,718.06元</w:t>
      </w:r>
      <w:r>
        <w:rPr>
          <w:rFonts w:eastAsia="仿宋_GB2312" w:hint="eastAsia"/>
          <w:sz w:val="30"/>
          <w:szCs w:val="30"/>
          <w:highlight w:val="none"/>
          <w:lang w:val="en-US" w:eastAsia="zh-CN"/>
        </w:rPr>
        <w:t xml:space="preserve">，下降8.43%</w:t>
      </w:r>
      <w:r>
        <w:rPr>
          <w:rFonts w:eastAsia="仿宋_GB2312" w:hint="eastAsia"/>
          <w:sz w:val="30"/>
          <w:szCs w:val="30"/>
          <w:highlight w:val="none"/>
          <w:lang w:val="en-US" w:eastAsia="zh-CN"/>
        </w:rPr>
        <w:t xml:space="preserve">，主要原因是本年度因有人员退休，导致人员经费减少，同时部分项目工作量有所调整，因此本年度一般公共预算财政拨款支出较上年减少。</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2025年度一般公共预算财政拨款支出14,587,940.47元，主要用于以下方面：</w:t>
      </w:r>
      <w:r>
        <w:rPr>
          <w:rFonts w:eastAsia="仿宋_GB2312" w:hint="eastAsia"/>
          <w:sz w:val="30"/>
          <w:szCs w:val="30"/>
          <w:highlight w:val="none"/>
        </w:rPr>
        <w:t xml:space="preserve">城乡社区支出（类）支出14,187,940.47元，占97.26%，灾害防治及应急管理支出（类）支出400,000.00元，占2.74%</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2025年度一般公共预算财政拨款支出年初预算为16,861,500.00元，支出决算为14,587,940.47元</w:t>
      </w:r>
      <w:r>
        <w:rPr>
          <w:rFonts w:eastAsia="仿宋_GB2312" w:hint="eastAsia"/>
          <w:sz w:val="30"/>
          <w:szCs w:val="30"/>
          <w:highlight w:val="none"/>
          <w:lang w:val="en-US" w:eastAsia="zh-CN"/>
        </w:rPr>
        <w:t xml:space="preserve">，完成年初预算的86.52%</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城乡社区支出（类）建设市场管理与监督（款）建设市场管理与监督（项）年初预算为16,461,500.00元，支出决算为14,187,940.47元，完成年初预算的86.19%，决算数小于年初预算数的主要原因是：按照过“紧日子”要求压减非刚性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2.灾害防治及应急管理支出（类）应急管理事务（款）安全监管（项）年初预算为400,000.00元，支出决算为400,000.00元，完成年初预算的100.00%，决算数与年初预算数持平的主要原因是：严格按照预算执行。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天津经济技术开发区建设工程管理中心2025年度一般公共预算财政拨款基本支出合计10,194,131.77元，与2024年度相比</w:t>
      </w:r>
      <w:r>
        <w:rPr>
          <w:rFonts w:eastAsia="仿宋_GB2312" w:hint="eastAsia"/>
          <w:sz w:val="30"/>
          <w:szCs w:val="30"/>
          <w:highlight w:val="none"/>
          <w:lang w:val="en-US" w:eastAsia="zh-CN"/>
        </w:rPr>
        <w:t xml:space="preserve">减少1,074,182.92元，</w:t>
      </w:r>
      <w:r>
        <w:rPr>
          <w:rFonts w:eastAsia="仿宋_GB2312" w:hint="eastAsia"/>
          <w:sz w:val="30"/>
          <w:szCs w:val="30"/>
          <w:highlight w:val="none"/>
          <w:lang w:val="en-US" w:eastAsia="zh-CN"/>
        </w:rPr>
        <w:t xml:space="preserve">主要原因是本年度因有人员退休，导致人员经费减少。</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人员经费9,874,663.11元，主要包括</w:t>
      </w:r>
      <w:r>
        <w:rPr>
          <w:rFonts w:eastAsia="仿宋_GB2312" w:hint="eastAsia"/>
          <w:sz w:val="30"/>
          <w:szCs w:val="30"/>
          <w:highlight w:val="none"/>
          <w:lang w:val="en-US" w:eastAsia="zh-CN"/>
        </w:rPr>
        <w:t xml:space="preserve">基本工资、津贴补贴、机关事业单位基本养老保险缴费、职业年金缴费、职工基本医疗保险缴费、其他社会保障缴费、住房公积金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公用经费319,468.66元，主要包括</w:t>
      </w:r>
      <w:r>
        <w:rPr>
          <w:rFonts w:eastAsia="仿宋_GB2312" w:hint="eastAsia"/>
          <w:sz w:val="30"/>
          <w:szCs w:val="30"/>
          <w:highlight w:val="none"/>
          <w:lang w:val="en-US" w:eastAsia="zh-CN"/>
        </w:rPr>
        <w:t xml:space="preserve">办公费、印刷费、手续费、水费、邮电费、差旅费、培训费、委托业务费、其他交通费用、其他商品和服务支出、专用设备购置</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天津经济技术开发区建设工程管理中心2025年度无政府性基金预算财政拨款收入、支出和结转结余。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天津经济技术开发区建设工程管理中心2025年度无国有资本经营预算财政拨款收入、支出和结转结余。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天津经济技术开发区建设工程管理中心2025年度无机关运行经费。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建设工程管理中心2025年政府采购支出总额9,888.00元，其中：政府采购货物支出9,888.00元、政府采购工程支出0.00元、政府采购服务支出0.00元。授予中小企业合同金额9,888.00元，占政府采购支出总额的100.00%，其中：授予小微企业合同金额9,888.00元，占政府采购支出总额的100.00%；货物采购授予中小企业合同金额占货物支出金额的100.00%，工程采购授予中小企业合同金额占工程支出金额的0.00%，服务采购授予中小企业合同金额占服务支出金额的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天津经济技术开发区建设工程管理中心2025年度无国有资产占有使用情况。</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根据预算绩效管理要求，天津经济技术开发区建设工程管理中心已对4个2025年度区级项目开展绩效自评，涉及金额4,450,000.00元，自评结果已随部门决算一并公开。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天津经济技术开发区建设工程管理中心不属于乡、镇、街级单位，不涉及公开2025年度教育、医疗卫生、社会保障和就业、住房保障、涉农补贴等民生支出情况。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BBDAE02D-0FCE-4C83-8A33-3CCA1BC6DC76}"/>
    <w:embedBold r:id="rId2" w:subsetted="1" w:fontKey="{A1DE02C7-A656-4DBC-9EF7-FE00EB151DAC}"/>
  </w:font>
  <w:font w:name="Cambria">
    <w:panose1 w:val="02040503050406030204"/>
    <w:charset w:val="00"/>
    <w:family w:val="roman"/>
    <w:pitch w:val="default"/>
    <w:sig w:usb0="E00006FF" w:usb1="420024FF" w:usb2="02000000" w:usb3="00000000" w:csb0="2000019F" w:csb1="00000000"/>
    <w:embedRegular r:id="rId3" w:fontKey="{15464F47-FACC-4DC7-A832-FA75C1182B55}"/>
  </w:font>
  <w:font w:name="Calibri">
    <w:panose1 w:val="020F0502020204030204"/>
    <w:charset w:val="00"/>
    <w:family w:val="swiss"/>
    <w:pitch w:val="default"/>
    <w:sig w:usb0="E4002EFF" w:usb1="C200247B" w:usb2="00000009" w:usb3="00000000" w:csb0="200001FF" w:csb1="00000000"/>
    <w:embedRegular r:id="rId4" w:fontKey="{D423B0F8-434C-4831-A371-3DF06CFFF830}"/>
  </w:font>
  <w:font w:name="黑体">
    <w:panose1 w:val="02010609060101010101"/>
    <w:charset w:val="FFFFFF86"/>
    <w:family w:val="auto"/>
    <w:pitch w:val="default"/>
    <w:sig w:usb0="800002BF" w:usb1="38CF7CFA" w:usb2="00000016" w:usb3="00000000" w:csb0="00040001" w:csb1="00000000"/>
    <w:embedRegular r:id="rId5" w:subsetted="1" w:fontKey="{264E2D0F-5488-4211-BA56-518ADFE588A5}"/>
    <w:embedBold r:id="rId6" w:subsetted="1" w:fontKey="{FC397DD5-DB94-4987-9164-5A0489B25E0B}"/>
  </w:font>
  <w:font w:name="方正小标宋简体">
    <w:altName w:val="黑体"/>
    <w:panose1 w:val="02000000000000000000"/>
    <w:charset w:val="FFFFFF86"/>
    <w:family w:val="auto"/>
    <w:pitch w:val="default"/>
    <w:sig w:usb0="00000001" w:usb1="08000000" w:usb2="00000000" w:usb3="00000000" w:csb0="00040000" w:csb1="00000000"/>
    <w:embedRegular r:id="rId7" w:fontKey="{58399FB2-9AF6-40C2-A164-3E2B22119B15}"/>
    <w:embedBold r:id="rId8" w:fontKey="{F8D121DA-CD54-4B3B-B9A3-26E95D140170}"/>
  </w:font>
  <w:font w:name="仿宋">
    <w:panose1 w:val="02010609060101010101"/>
    <w:charset w:val="FFFFFF86"/>
    <w:family w:val="auto"/>
    <w:pitch w:val="default"/>
    <w:sig w:usb0="800002BF" w:usb1="38CF7CFA" w:usb2="00000016" w:usb3="00000000" w:csb0="00040001" w:csb1="00000000"/>
    <w:embedRegular r:id="rId9" w:subsetted="1" w:fontKey="{946E6B29-5A04-4AE8-ABEE-C65B2B8422B9}"/>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D1822832-CB33-482A-8C8A-B9AA4FB90B72}"/>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CA3ACAE3-338B-42EE-83A2-AC097AEE35EA}"/>
    <w:embedBold r:id="rId12" w:subsetted="1" w:fontKey="{12A438FB-0B77-4F28-90EF-B5FF8F81EAB6}"/>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6</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17</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25</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28</Pages>
  <Words>3930</Words>
  <Characters>23360</Characters>
  <Application>WPS Office_12.1.0.28043_F1E327BC-269C-435d-A152-05C5408002CA</Application>
  <DocSecurity>0</DocSecurity>
  <Lines>60</Lines>
  <Paragraphs>16</Paragraphs>
  <ScaleCrop>false</ScaleCrop>
  <Company>Microsoft</Company>
  <LinksUpToDate>false</LinksUpToDate>
  <CharactersWithSpaces>23943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2026-08-26T09:05:51Z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