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天津经济技术开发区总工会</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年度部门决算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TOC \o "1-3" \h \z \u</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_Toc31751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240" w:firstLine="0" w:leftChars="100" w:firstLineChars="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一、主要职责</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_Toc957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二、机构设置</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_Toc9641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_Toc22959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_Toc24940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二、《收入决算表（按功能分类列示）》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_Toc19253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三、《收入决算表（按单位列示）》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_Toc1420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四、《支出决算表》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_Toc16222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五、《财政拨款收入支出决算总表》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_Toc10133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8</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六、《一般公共预算财政拨款支出决算表》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七、《一般公共预算财政拨款基本支出决算表》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_Toc8838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八、《政府性基金预算财政拨款收入支出决算表》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_Toc2699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九、《国有资本经营预算财政拨款收入支出决算表》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_Toc11009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_Toc25214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十一、《项目支出决算表》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_Toc18972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_Toc7922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_Toc7052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_Toc6621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_Toc21049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四、财政拨款收支决算总体情况说明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_Toc8231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五、一般公共预算财政拨款支出决算情况说明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六、一般公共预算财政拨款基本支出决算情况说明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_Toc17234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七、政府性基金预算财政拨款收支决算情况说明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_Toc11228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八、国有资本经营预算财政拨款收支决算情况说明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九、财政拨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十、机关运行经费支出情况说明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_Toc30303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十一、政府采购支出情况说明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_Toc3597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十二、国有资产占有使用情况说明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_Toc32039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十三、预算绩效情况说明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十四、教育、医疗卫生、社会保障和就业、住房保障、涉农补贴等民生支出情况说明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_Toc10864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_Toc19733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方正小标宋简体" w:eastAsia="方正小标宋简体" w:hAnsi="方正小标宋简体" w:cs="方正小标宋简体" w:hint="eastAsia"/>
          <w:sz w:val="30"/>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31751"/>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957"/>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天津经济技术开发区总工会</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天津经济技术开发区总工会贯彻落实党中央关于工会、团委、妇联工作的方针政策，贯彻落实党中央、天津市委、新区区委和经开区党委、管委会关于工会、团委及妇联工作的决策部署，在履行职责过程中坚持和加强党的集中统一领导</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9641"/>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天津经济技术开发区总工会</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年度部门决算编制范围的单位包括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部门本级（内设6个职能科室）。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2959"/>
      <w:r>
        <w:rPr>
          <w:rFonts w:ascii="方正小标宋简体" w:eastAsia="方正小标宋简体" w:hAnsi="方正小标宋简体" w:cs="方正小标宋简体" w:hint="eastAsia"/>
          <w:b w:val="0"/>
          <w:bCs w:val="0"/>
          <w:lang w:val="en-US" w:eastAsia="zh-CN"/>
        </w:rPr>
        <w:t xml:space="preserve">第二部分  2025年度部门决算表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49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天津经济技术开发区总工会</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11445415.61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11445415.61</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11445415.61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11445415.61</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11445415.61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11445415.61</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divId w:val="0"/>
        <w:ind w:left="-480" w:firstLine="0" w:leftChars="-200" w:firstLineChars="0"/>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19253"/>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天津经济技术开发区总工会</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11445415.61</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11445415.61</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11445415.61</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11445415.61</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20129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群众团体事务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11445415.61</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11445415.61</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2012901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10986989.61</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10986989.61</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2012999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458426.00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458426.00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420"/>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天津经济技术开发区总工会</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11445415.61</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11445415.61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11445415.61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572101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天津经济技术开发区总工会</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11445415.61</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11445415.61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11445415.61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天津经济技术开发区总工会</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572101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天津经济技术开发区总工会</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6222"/>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天津经济技术开发区总工会</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11445415.61</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10986989.61</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458426.00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11445415.61</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10986989.61</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458426.00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20129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群众团体事务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11445415.61</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10986989.61</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458426.00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2012901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10986989.61</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10986989.61</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2012999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458426.00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458426.00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10133"/>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天津经济技术开发区总工会</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11445415.61</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11445415.61</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11445415.61</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11445415.61</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11445415.61</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11445415.61</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11445415.61</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11445415.61</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11445415.61</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32088"/>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天津经济技术开发区总工会</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11445415.61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10986989.61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10624308.83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362680.78</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458426.00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11445415.61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10986989.61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10624308.83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362680.78</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458426.00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20129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群众团体事务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11445415.61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10986989.61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10624308.83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362680.78</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458426.00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2012901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10986989.61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10986989.61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10624308.83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362680.78</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2012999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458426.00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458426.00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8838"/>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天津经济技术开发区总工会</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10624308.83</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362680.78</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2139197.92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5069299.99</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545419.20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272709.60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340887.00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44976.50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25308.12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2231487.00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18539.00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72000.00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153360.00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49805.28</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10624308.83</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362680.78</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2699"/>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天津经济技术开发区总工会</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天津经济技术开发区总工会2025年度政府性基金预算财政拨款收入支出决算表为空表。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11009"/>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天津经济技术开发区总工会</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天津经济技术开发区总工会2025年度国有资本经营预算财政拨款收入支出决算表为空表。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14"/>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天津经济技术开发区总工会</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天津经济技术开发区总工会2025年财政拨款“三公”经费支出决算表为空表。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9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天津经济技术开发区总工会</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458426.00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458426.00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一般公共服务支出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458426.00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458426.00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20129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群众团体事务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458426.00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458426.00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2012999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458426.00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458426.00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7922"/>
      <w:r>
        <w:rPr>
          <w:rFonts w:ascii="方正小标宋简体" w:eastAsia="方正小标宋简体" w:hAnsi="方正小标宋简体" w:cs="方正小标宋简体" w:hint="eastAsia"/>
          <w:b w:val="0"/>
          <w:bCs w:val="0"/>
          <w:lang w:val="en-US" w:eastAsia="zh-CN"/>
        </w:rPr>
        <w:t xml:space="preserve">第三部分  2025年度部门决算情况说明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7052"/>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天津经济技术开发区总工会</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11,445,415.61</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减少2,275,589.36元，下降16.58%</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本年度减少第十一届中国青年创青春大赛项目，故整体收支减少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一般公共预算财政拨款收入11,445,415.61元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bookmarkStart w:id="17" w:name="_Toc6621"/>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一般公共服务支出11,445,415.61元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天津经济技术开发区总工会</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11,445,415.61</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减少2,275,589.36元，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本年度减少第十一届中国青年创青春大赛项目，故整体收入减少</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一般公共预算财政拨款收入11,445,415.61元，占100.00%</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21049"/>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天津经济技术开发区总工会</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11,445,415.61</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减少2,275,589.36元，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本年度减少第十一届中国青年创青春大赛项目，故整体支出减少</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基本支出10,986,989.61元，占95.99%；项目支出458,426.00元，占4.01%</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82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天津经济技术开发区总工会</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11,445,415.61</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减少2,275,589.36元，下降16.58%，</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本年度减少第十一届中国青年创青春大赛项目，故整体收支减少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一般公共预算财政拨款11,445,415.61元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一般公共服务支出11,445,415.61元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24201"/>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天津经济技术开发区总工会2025年度一般公共预算财政拨款支出合计11,445,415.61元，占本年支出合计的100.00%。与2024年度相比，一般公共预算财政拨款支出</w:t>
      </w:r>
      <w:r>
        <w:rPr>
          <w:rFonts w:eastAsia="仿宋_GB2312" w:hint="eastAsia"/>
          <w:sz w:val="30"/>
          <w:szCs w:val="30"/>
          <w:highlight w:val="none"/>
          <w:lang w:val="en-US" w:eastAsia="zh-CN"/>
        </w:rPr>
        <w:t xml:space="preserve">减少2,275,589.36元</w:t>
      </w:r>
      <w:r>
        <w:rPr>
          <w:rFonts w:eastAsia="仿宋_GB2312" w:hint="eastAsia"/>
          <w:sz w:val="30"/>
          <w:szCs w:val="30"/>
          <w:highlight w:val="none"/>
          <w:lang w:val="en-US" w:eastAsia="zh-CN"/>
        </w:rPr>
        <w:t xml:space="preserve">，下降16.58%</w:t>
      </w:r>
      <w:r>
        <w:rPr>
          <w:rFonts w:eastAsia="仿宋_GB2312" w:hint="eastAsia"/>
          <w:sz w:val="30"/>
          <w:szCs w:val="30"/>
          <w:highlight w:val="none"/>
          <w:lang w:val="en-US" w:eastAsia="zh-CN"/>
        </w:rPr>
        <w:t xml:space="preserve">，主要原因是本年度减少第十一届中国青年创青春大赛项目，故整体支出减少。</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2025年度一般公共预算财政拨款支出11,445,415.61元，主要用于以下方面：</w:t>
      </w:r>
      <w:r>
        <w:rPr>
          <w:rFonts w:eastAsia="仿宋_GB2312" w:hint="eastAsia"/>
          <w:sz w:val="30"/>
          <w:szCs w:val="30"/>
          <w:highlight w:val="none"/>
        </w:rPr>
        <w:t xml:space="preserve">一般公共服务支出（类）支出11,445,415.61元，占100.00%</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2025年度一般公共预算财政拨款支出年初预算为13,282,800.00元，支出决算为11,445,415.61元</w:t>
      </w:r>
      <w:r>
        <w:rPr>
          <w:rFonts w:eastAsia="仿宋_GB2312" w:hint="eastAsia"/>
          <w:sz w:val="30"/>
          <w:szCs w:val="30"/>
          <w:highlight w:val="none"/>
          <w:lang w:val="en-US" w:eastAsia="zh-CN"/>
        </w:rPr>
        <w:t xml:space="preserve">，完成年初预算的86.17%</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一般公共服务支出（类）群众团体事务（款）行政运行（项）年初预算为12,812,800.00元，支出决算为10,986,989.61元，完成年初预算的85.75%，决算数小于年初预算数的主要原因是：年中有人员退休，人员相关支出减少。</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一般公共服务支出（类）群众团体事务（款）其他群众团体事务支出（项）年初预算为470,000.00元，支出决算为458,426.00元，完成年初预算的97.54%，决算数小于年初预算数的主要原因是：严格按照预算执行，基本完成预算全部支出。</w:t>
      </w:r>
    </w:p>
    <w:p>
      <w:pPr>
        <w:pStyle w:val="标题2"/>
        <w:spacing w:before="0" w:after="0" w:line="600" w:lineRule="exact"/>
        <w:ind w:firstLine="600" w:firstLineChars="200"/>
        <w:rPr>
          <w:rFonts w:ascii="黑体" w:eastAsia="黑体" w:hAnsi="黑体"/>
          <w:b w:val="0"/>
          <w:sz w:val="30"/>
          <w:szCs w:val="30"/>
          <w:highlight w:val="none"/>
        </w:rPr>
      </w:pPr>
      <w:bookmarkStart w:id="21" w:name="_Toc17234"/>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天津经济技术开发区总工会2025年度一般公共预算财政拨款基本支出合计10,986,989.61元，与2024年度相比</w:t>
      </w:r>
      <w:r>
        <w:rPr>
          <w:rFonts w:eastAsia="仿宋_GB2312" w:hint="eastAsia"/>
          <w:sz w:val="30"/>
          <w:szCs w:val="30"/>
          <w:highlight w:val="none"/>
          <w:lang w:val="en-US" w:eastAsia="zh-CN"/>
        </w:rPr>
        <w:t xml:space="preserve">减少1,456,999.36元，</w:t>
      </w:r>
      <w:r>
        <w:rPr>
          <w:rFonts w:eastAsia="仿宋_GB2312" w:hint="eastAsia"/>
          <w:sz w:val="30"/>
          <w:szCs w:val="30"/>
          <w:highlight w:val="none"/>
          <w:lang w:val="en-US" w:eastAsia="zh-CN"/>
        </w:rPr>
        <w:t xml:space="preserve">主要原因是有退休人员，人员相关支出较上年减少。</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人员经费10,624,308.83元，主要包括</w:t>
      </w:r>
      <w:r>
        <w:rPr>
          <w:rFonts w:eastAsia="仿宋_GB2312" w:hint="eastAsia"/>
          <w:sz w:val="30"/>
          <w:szCs w:val="30"/>
          <w:highlight w:val="none"/>
          <w:lang w:val="en-US" w:eastAsia="zh-CN"/>
        </w:rPr>
        <w:t xml:space="preserve">基本工资、津贴补贴、机关事业单位基本养老保险缴费、职业年金缴费、职工基本医疗保险缴费、其他社会保障缴费、住房公积金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公用经费362,680.78元，主要包括</w:t>
      </w:r>
      <w:r>
        <w:rPr>
          <w:rFonts w:eastAsia="仿宋_GB2312" w:hint="eastAsia"/>
          <w:sz w:val="30"/>
          <w:szCs w:val="30"/>
          <w:highlight w:val="none"/>
          <w:lang w:val="en-US" w:eastAsia="zh-CN"/>
        </w:rPr>
        <w:t xml:space="preserve">办公费、差旅费、维修(护)费、租赁费、其他交通费用、其他商品和服务支出</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11228"/>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天津经济技术开发区总工会2025年度无政府性基金预算财政拨款收入、支出和结转结余。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2429"/>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天津经济技术开发区总工会2025年度无国有资本经营预算财政拨款收入、支出和结转结余。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22288"/>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30303"/>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机关运行经费是指行政单位和参照公务员法管理的事业单位使用财政拨款安排的基本支出中的日常公用经费支出，天津经济技术开发区总工会2025年度机关运行经费年初预算386,900.00元，决算数362,680.78元，与年初预算相比</w:t>
      </w:r>
      <w:r>
        <w:rPr>
          <w:rFonts w:eastAsia="仿宋_GB2312" w:hint="eastAsia"/>
          <w:sz w:val="30"/>
          <w:szCs w:val="30"/>
          <w:highlight w:val="none"/>
          <w:lang w:val="en-US" w:eastAsia="zh-CN"/>
        </w:rPr>
        <w:t xml:space="preserve">减少24,219.22元，</w:t>
      </w:r>
      <w:r>
        <w:rPr>
          <w:rFonts w:eastAsia="仿宋_GB2312" w:hint="eastAsia"/>
          <w:sz w:val="30"/>
          <w:szCs w:val="30"/>
          <w:highlight w:val="none"/>
          <w:lang w:val="en-US" w:eastAsia="zh-CN"/>
        </w:rPr>
        <w:t xml:space="preserve">完成年初预算的93.74%；</w:t>
      </w:r>
      <w:r>
        <w:rPr>
          <w:rFonts w:eastAsia="仿宋_GB2312" w:hint="eastAsia"/>
          <w:sz w:val="30"/>
          <w:szCs w:val="30"/>
          <w:highlight w:val="none"/>
          <w:lang w:val="en-US" w:eastAsia="zh-CN"/>
        </w:rPr>
        <w:t xml:space="preserve">比2024年增加1,685.78元</w:t>
      </w:r>
      <w:r>
        <w:rPr>
          <w:rFonts w:eastAsia="仿宋_GB2312" w:hint="eastAsia"/>
          <w:sz w:val="30"/>
          <w:szCs w:val="30"/>
          <w:highlight w:val="none"/>
          <w:lang w:val="en-US" w:eastAsia="zh-CN"/>
        </w:rPr>
        <w:t xml:space="preserve">，增长0.47%</w:t>
      </w:r>
      <w:r>
        <w:rPr>
          <w:rFonts w:eastAsia="仿宋_GB2312" w:hint="eastAsia"/>
          <w:sz w:val="30"/>
          <w:szCs w:val="30"/>
          <w:highlight w:val="none"/>
          <w:lang w:val="en-US" w:eastAsia="zh-CN"/>
        </w:rPr>
        <w:t xml:space="preserve">。主要原因是：本年度从严管控一般性支出，优化公务活动，压减非刚性支出，因此决算数较年初预算数有所减少；同时按照政府收支分类科目要求，本年度公用经费列支残保金，因此较上年决算数有所增加。</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3597"/>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天津经济技术开发区总工会2025年度无政府采购支出。</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32039"/>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天津经济技术开发区总工会2025年度无国有资产占有使用情况。</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2201"/>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根据预算绩效管理要求，天津经济技术开发区总工会已对1个2025年度区级项目开展绩效自评，涉及金额470,000.00元，自评结果已随部门决算一并公开。</w:t>
      </w:r>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本部门2025年度未开展部门评价。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10864"/>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天津经济技术开发区总工会不属于乡、镇、街级单位，不涉及公开2025年度教育、医疗卫生、社会保障和就业、住房保障、涉农补贴等民生支出情况。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19733"/>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34C88EA5-D057-4A97-ABC6-D2083CC8DB0B}"/>
    <w:embedBold r:id="rId2" w:subsetted="1" w:fontKey="{295095DE-FA8D-4F5F-B1F1-D5908D97C767}"/>
  </w:font>
  <w:font w:name="Cambria">
    <w:panose1 w:val="02040503050406030204"/>
    <w:charset w:val="00"/>
    <w:family w:val="roman"/>
    <w:pitch w:val="default"/>
    <w:sig w:usb0="E00006FF" w:usb1="420024FF" w:usb2="02000000" w:usb3="00000000" w:csb0="2000019F" w:csb1="00000000"/>
    <w:embedRegular r:id="rId3" w:fontKey="{7971DA0D-0BE5-4D72-80A2-2BBA6E07D3F4}"/>
  </w:font>
  <w:font w:name="Calibri">
    <w:panose1 w:val="020F0502020204030204"/>
    <w:charset w:val="00"/>
    <w:family w:val="swiss"/>
    <w:pitch w:val="default"/>
    <w:sig w:usb0="E4002EFF" w:usb1="C200247B" w:usb2="00000009" w:usb3="00000000" w:csb0="200001FF" w:csb1="00000000"/>
    <w:embedRegular r:id="rId4" w:fontKey="{0DAFC08C-45F9-41FD-A24A-D24763B7F264}"/>
  </w:font>
  <w:font w:name="黑体">
    <w:panose1 w:val="02010609060101010101"/>
    <w:charset w:val="FFFFFF86"/>
    <w:family w:val="auto"/>
    <w:pitch w:val="default"/>
    <w:sig w:usb0="800002BF" w:usb1="38CF7CFA" w:usb2="00000016" w:usb3="00000000" w:csb0="00040001" w:csb1="00000000"/>
    <w:embedRegular r:id="rId5" w:subsetted="1" w:fontKey="{CF368715-925E-430C-8AD4-8200214EF136}"/>
    <w:embedBold r:id="rId6" w:subsetted="1" w:fontKey="{AC7AD906-5A25-4BDF-856F-F87A50BA9627}"/>
  </w:font>
  <w:font w:name="方正小标宋简体">
    <w:altName w:val="黑体"/>
    <w:panose1 w:val="02000000000000000000"/>
    <w:charset w:val="FFFFFF86"/>
    <w:family w:val="auto"/>
    <w:pitch w:val="default"/>
    <w:sig w:usb0="00000001" w:usb1="08000000" w:usb2="00000000" w:usb3="00000000" w:csb0="00040000" w:csb1="00000000"/>
    <w:embedRegular r:id="rId7" w:fontKey="{A4FEDCBA-F55F-425E-B29D-1E6BE5B7BB9E}"/>
    <w:embedBold r:id="rId8" w:fontKey="{8B55D2F7-C3A9-4304-849F-F9263BB695DB}"/>
  </w:font>
  <w:font w:name="仿宋">
    <w:panose1 w:val="02010609060101010101"/>
    <w:charset w:val="FFFFFF86"/>
    <w:family w:val="auto"/>
    <w:pitch w:val="default"/>
    <w:sig w:usb0="800002BF" w:usb1="38CF7CFA" w:usb2="00000016" w:usb3="00000000" w:csb0="00040001" w:csb1="00000000"/>
    <w:embedRegular r:id="rId9" w:subsetted="1" w:fontKey="{24F2A522-F2B2-4B14-B77A-1A2E4AAC4079}"/>
  </w:font>
  <w:font w:name="方正仿宋_GB2312">
    <w:altName w:val="仿宋"/>
    <w:panose1 w:val="02000000000000000000"/>
    <w:charset w:val="FFFFFF86"/>
    <w:family w:val="auto"/>
    <w:pitch w:val="default"/>
    <w:sig w:usb0="A00002BF" w:usb1="184F6CFA" w:usb2="00000012" w:usb3="00000000" w:csb0="00040001" w:csb1="00000000"/>
    <w:embedRegular r:id="rId10" w:fontKey="{83403E66-9FCA-484D-BECD-DB9CE7A8A108}"/>
  </w:font>
  <w:font w:name="仿宋_GB2312">
    <w:altName w:val="仿宋"/>
    <w:panose1 w:val="02010609030101010101"/>
    <w:charset w:val="FFFFFF86"/>
    <w:family w:val="auto"/>
    <w:pitch w:val="default"/>
    <w:sig w:usb0="00000001" w:usb1="080E0000" w:usb2="00000000" w:usb3="00000000" w:csb0="00040000" w:csb1="00000000"/>
    <w:embedRegular r:id="rId11" w:fontKey="{35A98DB5-643E-4303-835A-1ADA73A5B325}"/>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2" w:subsetted="1" w:fontKey="{7AB9628E-9ADD-44D5-B78C-17B61DB65963}"/>
    <w:embedBold r:id="rId13" w:subsetted="1" w:fontKey="{D055062D-F699-42D2-995F-9B18E32294A1}"/>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6</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17</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24</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27</Pages>
  <Words>3930</Words>
  <Characters>23360</Characters>
  <Application>WPS Office_12.1.0.28043_F1E327BC-269C-435d-A152-05C5408002CA</Application>
  <DocSecurity>0</DocSecurity>
  <Lines>60</Lines>
  <Paragraphs>16</Paragraphs>
  <ScaleCrop>false</ScaleCrop>
  <Company>Microsoft</Company>
  <LinksUpToDate>false</LinksUpToDate>
  <CharactersWithSpaces>23943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2026-08-26T09:05:51Z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