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bookmarkStart w:id="31" w:name="_GoBack"/>
      <w:bookmarkEnd w:id="31"/>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天津经济技术开发区投资促进办公室</w:t>
      </w:r>
    </w:p>
    <w:p>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600" w:lineRule="exact"/>
        <w:jc w:val="center"/>
        <w:rPr>
          <w:rFonts w:hint="eastAsia" w:ascii="黑体" w:eastAsia="黑体"/>
          <w:sz w:val="44"/>
          <w:szCs w:val="44"/>
          <w:highlight w:val="none"/>
        </w:rPr>
        <w:sectPr>
          <w:pgSz w:w="11906" w:h="16838"/>
          <w:pgMar w:top="120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p>
    <w:p>
      <w:pPr>
        <w:spacing w:line="600" w:lineRule="exact"/>
        <w:jc w:val="center"/>
        <w:rPr>
          <w:rFonts w:hint="eastAsia" w:ascii="黑体" w:eastAsia="黑体"/>
          <w:sz w:val="44"/>
          <w:szCs w:val="44"/>
          <w:highlight w:val="none"/>
        </w:rPr>
      </w:pPr>
    </w:p>
    <w:p>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600" w:lineRule="exact"/>
        <w:rPr>
          <w:rFonts w:hint="eastAsia" w:ascii="黑体" w:eastAsia="黑体"/>
          <w:sz w:val="30"/>
          <w:szCs w:val="30"/>
          <w:highlight w:val="none"/>
        </w:rPr>
      </w:pP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ascii="Times New Roman" w:hAnsi="Times New Roman" w:eastAsia="方正仿宋_GB2312"/>
          <w:sz w:val="32"/>
          <w:szCs w:val="32"/>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pPr>
        <w:rPr>
          <w:rFonts w:hint="eastAsia"/>
          <w:highlight w:val="none"/>
        </w:rPr>
      </w:pP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pPr>
        <w:spacing w:line="600" w:lineRule="exact"/>
        <w:rPr>
          <w:rFonts w:hint="eastAsia"/>
          <w:highlight w:val="none"/>
        </w:rPr>
      </w:pPr>
    </w:p>
    <w:p>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的主要职责是：（一）贯彻执行国家、天津市和滨海新区关于投资促进、招商引资的方针政策和法律、法规、规章。负责经开区招商引资统筹、协调、管理和服务工作。制定投资促进、招商引资工作制度，配合有关部门进行产业研究和招商政策制定。</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（二）负责招商引资任务分解、招商类指标制定及考核等工作。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（三）负责开发和吸引符合我区产业发展的高质量项目，完成党委、管委会下达的各项招商指标。</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四）负责承担天津经济技术开发区投资促进管理委员会办公室职能，负责相关会议的组织筹备等工作。承担天津经济技术开发区招商项目联合评审小组办公室职能，负责相关会议的组织筹备等工作。负责招商协议类法律文件的法务审核和报批材料标准化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（五）负责统筹招商政策兑现流程制定及优化工作，做好招商政策兑现相关工作。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（六）负责统筹楼宇招商和服务工作，负责经开区范围内商务楼宇载体资源、经济数据收集统计等工作。负责楼宇经济对外宣传推介等工作。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（七）负责外商投资促进和监督管理工作，负责组织、指导全区外商投资企业初始、变更及年度信息报告报送及管理工作。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（八）负责统筹以招商引资为主的大型活动、论坛以及对外招商推广工作。  </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（九）负责党委、管委会领导涉外文件、涉外活动、涉外宣传品等的翻译工作，负责招商人员外语指导及培训工作。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（十）负责与国内外商协会、行业平台、社会组织、专业机构建立合作关系。负责经开区驻外联络相关工作。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（十一）负责本领域安全生产管理，从行业规划、产业政策、法规标准等方面加强本领域安全生产工作，指导督促企业加强安全管理。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（十二）贯彻落实本部门全面从严治党主体责任，严格落实基层党建工作任务，发挥党组织战斗堡垒作用和党员先锋模范作用。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（十三）完成党委、管委会交办的其他各项工作。</w:t>
      </w:r>
    </w:p>
    <w:p>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纳入天津经济技术开发区投资促进办公室2025年度部门决算编制范围的单位包括，部门本级（内设6个职能科室）。</w:t>
      </w:r>
    </w:p>
    <w:p>
      <w:pPr>
        <w:spacing w:line="600" w:lineRule="exact"/>
        <w:rPr>
          <w:rFonts w:hint="eastAsia" w:eastAsia="方正楷体_GB2312"/>
          <w:b/>
          <w:sz w:val="30"/>
          <w:szCs w:val="30"/>
          <w:highlight w:val="none"/>
        </w:rPr>
      </w:pPr>
      <w:r>
        <w:rPr>
          <w:rFonts w:eastAsia="方正楷体_GB2312"/>
          <w:b/>
          <w:sz w:val="30"/>
          <w:szCs w:val="30"/>
          <w:highlight w:val="none"/>
        </w:rPr>
        <w:br w:type="page"/>
      </w: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983"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：天津经济技术开发区投资促进办公室</w:t>
            </w:r>
          </w:p>
        </w:tc>
        <w:tc>
          <w:tcPr>
            <w:tcW w:w="4812"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983" w:type="dxa"/>
            <w:gridSpan w:val="2"/>
            <w:tcBorders>
              <w:top w:val="single" w:color="000000" w:sz="4" w:space="0"/>
              <w:left w:val="single" w:color="000000" w:sz="4" w:space="0"/>
              <w:bottom w:val="single" w:color="000000" w:sz="4" w:space="0"/>
              <w:right w:val="nil"/>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4812" w:type="dxa"/>
            <w:gridSpan w:val="2"/>
            <w:tcBorders>
              <w:top w:val="single" w:color="000000" w:sz="4" w:space="0"/>
              <w:left w:val="nil"/>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657103720.46</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17466925.92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68"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382294798.94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257341995.60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657103720.46</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657103720.46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657103720.46</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657103720.46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jc w:val="center"/>
        </w:trPr>
        <w:tc>
          <w:tcPr>
            <w:tcW w:w="9795" w:type="dxa"/>
            <w:gridSpan w:val="4"/>
            <w:tcBorders>
              <w:top w:val="nil"/>
              <w:left w:val="nil"/>
              <w:bottom w:val="nil"/>
              <w:right w:val="nil"/>
            </w:tcBorders>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pPr>
        <w:ind w:left="-480" w:leftChars="-200" w:firstLine="0" w:firstLineChars="0"/>
        <w:rPr>
          <w:rFonts w:hint="eastAsia"/>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1656"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657103720.46</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657103720.46</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17466925.92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17466925.92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1217665.00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1217665.00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1217665.00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1217665.00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商贸事务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16249260.92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16249260.92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10854773.57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10854773.57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946786.35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946786.35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招商引资</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4447701.00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4447701.00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制造业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其他制造业支出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382294798.94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商业服务业等支出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涉外发展服务支出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2160699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其他涉外发展服务支出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257341995.60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：天津经济技术开发区投资促进办公室</w:t>
            </w: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657103720.46</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657103720.46</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657103720.46</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323101</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天津经济技术开发区投资促进办公室</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657103720.46</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657103720.46</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657103720.46</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：天津经济技术开发区投资促进办公室</w:t>
            </w:r>
          </w:p>
        </w:tc>
        <w:tc>
          <w:tcPr>
            <w:tcW w:w="3576"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323101</w:t>
            </w:r>
          </w:p>
        </w:tc>
        <w:tc>
          <w:tcPr>
            <w:tcW w:w="138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天津经济技术开发区投资促进办公室</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sectPr>
          <w:footerReference r:id="rId5" w:type="default"/>
          <w:pgSz w:w="16838" w:h="11906" w:orient="landscape"/>
          <w:pgMar w:top="1320" w:right="1440" w:bottom="627" w:left="1440" w:header="851" w:footer="992" w:gutter="0"/>
          <w:pgBorders>
            <w:top w:val="none" w:sz="0" w:space="0"/>
            <w:left w:val="none" w:sz="0" w:space="0"/>
            <w:bottom w:val="none" w:sz="0" w:space="0"/>
            <w:right w:val="none" w:sz="0" w:space="0"/>
          </w:pgBorders>
          <w:pgNumType w:fmt="decimal"/>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016" w:type="dxa"/>
            <w:tcBorders>
              <w:top w:val="nil"/>
              <w:left w:val="nil"/>
              <w:bottom w:val="single" w:color="000000" w:sz="4" w:space="0"/>
              <w:right w:val="nil"/>
            </w:tcBorders>
            <w:shd w:val="clear" w:color="auto" w:fill="FFFFFF"/>
            <w:noWrap/>
            <w:vAlign w:val="center"/>
          </w:tcPr>
          <w:p>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657103720.46</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10854773.57</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646248946.89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17466925.92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10854773.57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6612152.35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1217665.00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1217665.00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1217665.00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1217665.00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商贸事务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16249260.92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10854773.57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5394487.35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10854773.57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10854773.57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946786.35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946786.35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招商引资</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4447701.00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4447701.00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制造业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其他制造业支出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382294798.94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商业服务业等支出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涉外发展服务支出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2160699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其他涉外发展服务支出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257341995.60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004"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17466925.92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17466925.92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382294798.94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382294798.94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257341995.60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257341995.60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657103720.46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天津经济技术开发区投资促进办公室</w:t>
            </w:r>
          </w:p>
        </w:tc>
        <w:tc>
          <w:tcPr>
            <w:tcW w:w="2447"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657103720.46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10854773.57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10490300.03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364473.54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646248946.89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17466925.92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10854773.57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10490300.03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364473.54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6612152.35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1217665.00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1217665.00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1217665.00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1217665.00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商贸事务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16249260.92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10854773.57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10490300.03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364473.54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5394487.35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10854773.57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10854773.57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10490300.03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364473.54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946786.35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946786.35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招商引资</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4447701.00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4447701.00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制造业</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其他制造业支出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382294798.94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商业服务业等支出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257341995.60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231"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10490300.03</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364473.54</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2108018.35</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124035.99</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4859675.52</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5870.00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542768.00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3836.69</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271384.00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339230.00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5921.50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24426.16</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20169.00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2344798.00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6399.00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5"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149870.00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44731.36</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10490300.03</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364473.54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天津经济技术开发区投资促进办公室2025年度政府性基金预算财政拨款收入支出决算表为空表。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天津经济技术开发区投资促进办公室2025年度国有资本经营预算财政拨款收入支出决算表为空表。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022" w:type="dxa"/>
            <w:gridSpan w:val="4"/>
            <w:tcBorders>
              <w:bottom w:val="single" w:color="auto" w:sz="4" w:space="0"/>
              <w:tl2br w:val="nil"/>
              <w:tr2bl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669" w:type="dxa"/>
            <w:tcBorders>
              <w:bottom w:val="single" w:color="auto" w:sz="4" w:space="0"/>
              <w:tl2br w:val="nil"/>
              <w:tr2bl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597" w:type="dxa"/>
            <w:tcBorders>
              <w:bottom w:val="single" w:color="auto" w:sz="4" w:space="0"/>
              <w:tl2br w:val="nil"/>
              <w:tr2bl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66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301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800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59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66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301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66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266280.80</w:t>
            </w: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265760.80</w:t>
            </w: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59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6"/>
            <w:tcBorders>
              <w:top w:val="single" w:color="auto" w:sz="4" w:space="0"/>
              <w:tl2br w:val="nil"/>
              <w:tr2bl w:val="nil"/>
            </w:tcBorders>
            <w:vAlign w:val="center"/>
          </w:tcPr>
          <w:p>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天津经济技术开发区投资促进办公室</w:t>
            </w: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646248946.89</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646248946.89</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6612152.35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6612152.35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1217665.00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1217665.00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1217665.00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1217665.00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商贸事务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5394487.35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5394487.35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946786.35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946786.35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招商引资</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4447701.00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4447701.00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其他制造业支出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382294798.94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商业服务业等支出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涉外发展服务支出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2160699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其他涉外发展服务支出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257341995.60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pPr>
        <w:sectPr>
          <w:footerReference r:id="rId6" w:type="default"/>
          <w:pgSz w:w="16838" w:h="11906" w:orient="landscape"/>
          <w:pgMar w:top="1560" w:right="1440" w:bottom="1331" w:left="1440" w:header="851" w:footer="992" w:gutter="0"/>
          <w:pgBorders>
            <w:top w:val="none" w:sz="0" w:space="0"/>
            <w:left w:val="none" w:sz="0" w:space="0"/>
            <w:bottom w:val="none" w:sz="0" w:space="0"/>
            <w:right w:val="none" w:sz="0" w:space="0"/>
          </w:pgBorders>
          <w:pgNumType w:fmt="decimal"/>
          <w:docGrid w:type="lines" w:linePitch="312" w:charSpace="0"/>
        </w:sectPr>
      </w:pPr>
    </w:p>
    <w:p>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pPr>
        <w:spacing w:line="600" w:lineRule="exact"/>
        <w:ind w:firstLine="600" w:firstLineChars="200"/>
        <w:rPr>
          <w:rFonts w:hint="eastAsia" w:ascii="黑体" w:eastAsia="黑体"/>
          <w:sz w:val="30"/>
          <w:szCs w:val="30"/>
          <w:highlight w:val="none"/>
        </w:rPr>
      </w:pP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收入、支出决算总计657,103,720.46元。与2024年度相比，收、支总计各减少208,393,731.15元，下降24.08%，主要原因是本年度先进制造业、现代服务业产业扶持项目减少，整体收支较上年度减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收入包括：一般公共预算财政拨款收入657,103,720.46元。</w:t>
      </w:r>
    </w:p>
    <w:p>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支出包括：一般公共服务支出17,466,925.92元、资源勘探工业信息等支出382,294,798.94元、商业服务业等支出257,341,995.60元。</w:t>
      </w: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投资促进办公室2025年度本年收入合计657,103,720.46元，与2024年度相比减少208,393,731.15元，主要原因是先进制造业、现代服务业产业扶持项目减少，整体收入较上年度减少。其中：一般公共预算财政拨款收入657,103,720.46元，占100.00%。</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天津经济技术开发区投资促进办公室2025年度本年支出合计657,103,720.46元，与2024年度相比减少208,393,731.15元，主要原因是先进制造业、现代服务业产业扶持项目减少，整体支出较上年度减少。其中：</w:t>
      </w:r>
      <w:r>
        <w:rPr>
          <w:rFonts w:hint="eastAsia" w:eastAsia="仿宋_GB2312"/>
          <w:sz w:val="30"/>
          <w:szCs w:val="30"/>
          <w:highlight w:val="none"/>
        </w:rPr>
        <w:t>基本支出10,854,773.57元，占1.65%；项目支出646,248,946.89元，占98.35%。</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财政拨款收入、支出决算总计657,103,720.46元。与2024年度相比，财政拨款收、支总计各减少208,393,731.15元，下降24.08%，主要原因是先进制造业、现代服务业产业扶持项目减少，整体收支较上年度减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收入包括：一般公共预算财政拨款657,103,720.46元。</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支出包括：一般公共服务支出17,466,925.92元、资源勘探工业信息等支出382,294,798.94元、商业服务业等支出257,341,995.60元。</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一般公共预算财政拨款支出合计657,103,720.46元，占本年支出合计的100.00%。与2024年度相比，一般公共预算财政拨款支出减少208,393,731.15元，下降24.08%，主要原因是本年度先进制造业、现代服务业产业扶持项目减少。</w:t>
      </w:r>
    </w:p>
    <w:p>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2025年度一般公共预算财政拨款支出657,103,720.46元，主要用于以下方面：</w:t>
      </w:r>
      <w:r>
        <w:rPr>
          <w:rFonts w:hint="eastAsia" w:eastAsia="仿宋_GB2312"/>
          <w:sz w:val="30"/>
          <w:szCs w:val="30"/>
          <w:highlight w:val="none"/>
        </w:rPr>
        <w:t>一般公共服务支出（类）支出17,466,925.92元，占2.66%，资源勘探工业信息等支出（类）支出382,294,798.94元，占58.18%，商业服务业等支出（类）支出257,341,995.60元，占39.16%。</w:t>
      </w:r>
    </w:p>
    <w:p>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2025年度一般公共预算财政拨款支出年初预算为616,355,400.00元，支出决算为657,103,720.46元，完成年初预算的106.61%。其中：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1,220,000.00元，支出决算为1,217,665.00元，完成年初预算的99.81%，决算数小于年初预算数的主要原因是：严格按照预算执行，基本完成预算全部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行政运行（项）年初预算为12,935,400.00元，支出决算为10,854,773.57元，完成年初预算的83.92%，决算数小于年初预算数的主要原因是：从严从紧管控一般性支出，压减非刚性支出，同时优化本年度公务活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3.一般公共服务支出（类）商贸事务（款）一般行政管理事务（项）年初预算为1,200,000.00元，支出决算为946,786.35元，完成年初预算的78.90%，决算数小于年初预算数的主要原因是：调整部分预算至重点招商活动。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一般公共服务支出（类）商贸事务（款）招商引资（项）年初预算为1,000,000.00元，支出决算为4,447,701.00元，完成年初预算的444.77%，决算数大于年初预算数的主要原因是：年中追加泰达汽车论坛等专项预算并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资源勘探工业信息等支出（类）制造业（款）其他制造业支出（项）年初预算为400,000,000.00元，支出决算为382,294,798.94元，完成年初预算的95.57%，决算数小于年初预算数的主要原因是：调整部分资金至其他重点项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商业服务业等支出（类）涉外发展服务支出（款）其他涉外发展服务支出（项）年初预算为200,000,000.00元，支出决算为257,341,995.60元，完成年初预算的128.67%，决算数大于年初预算数的主要原因是：年中追加现代服务业扶持资金预算并支出。</w:t>
      </w:r>
    </w:p>
    <w:p>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天津经济技术开发区投资促进办公室2025年度一般公共预算财政拨款基本支出合计10,854,773.57元，与2024年度相比增加351,207.24元，主要原因是人员调动，人员经费相应增加。其中：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人员经费10,490,300.03元，主要包括基本工资、津贴补贴、机关事业单位基本养老保险缴费、职业年金缴费、职工基本医疗保险缴费、其他社会保障缴费、住房公积金。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公用经费364,473.54元，主要包括办公费、手续费、水费、邮电费、差旅费、因公出国（境）费用、维修(护)费、培训费、公务接待费、其他交通费用、其他商品和服务支出。</w:t>
      </w:r>
    </w:p>
    <w:p>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天津经济技术开发区投资促进办公室2025年度无政府性基金预算财政拨款收入、支出和结转结余。</w:t>
      </w:r>
    </w:p>
    <w:p>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天津经济技术开发区投资促进办公室2025年度无国有资本经营预算财政拨款收入、支出和结转结余。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268,109.00元，支出决算266,280.80元，与2025年预算相比减少1,828.20元，完成预算的99.32%；支出决算较上年减少207,648.86元，下降43.81%。决算数小于预算数的主要原因是严控三公经费支出；决算数较上年减少的主要原因是公务接待活动减少及因公出国（境）团组减少。</w:t>
      </w:r>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267,589.00元，支出决算265,760.80元，与预算相比减少1,828.20元，完成预算的99.32%；支出决算较上年减少205,728.86元，下降43.63%。决算数小于预算数的主要原因是严控因公出国（境）费用支出；决算数较上年减少的主要原因是严控因公出国（境）费用支出，因公出国（境）团组减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2025年本单位组织的出国团组1个，出国4人次。</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520.00元，支出决算520.00元，与预算相比持平，完成预算的100.00%；支出决算较上年减少1,920.00元，下降78.69%。决算数与预算数持平的主要原因是严格按照预算执行；决算数较上年减少的主要原因是严控公务接待费用支出，本年度减少公务接待次数。</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2025年本单位国内公务接待1批次，13人次；其中，外事接待0批次，0人次。</w:t>
      </w:r>
    </w:p>
    <w:p>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投资促进办公室2025年度机关运行经费年初预算476,700.00元，决算数364,473.54元，与年初预算相比减少112,226.46元，完成年初预算的76.46%；比2024年增加43,212.21元，增长13.45%。主要原因是：本年度从严从紧管控一般性支出,优化调整部分公务活动，所以较年初预算数减少；按照政府收支分类科目，本年度公用经费列支了残保金科目。</w:t>
      </w:r>
    </w:p>
    <w:p>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政府采购支出总额3,627,000.00元，其中：政府采购货物支出0.00元、政府采购工程支出0.00元、政府采购服务支出3,627,000.00元。授予中小企业合同金额627,000.00元，占政府采购支出总额的17.29%，其中：授予小微企业合同金额627,000.00元，占政府采购支出总额的17.29%；货物采购授予中小企业合同金额占货物支出金额的0.00%，工程采购授予中小企业合同金额占工程支出金额的0.00%，服务采购授予中小企业合同金额占服务支出金额的100.00%。</w:t>
      </w:r>
    </w:p>
    <w:p>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天津经济技术开发区投资促进办公室2025年度无国有资产占有使用情况。</w:t>
      </w:r>
    </w:p>
    <w:p>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根据预算绩效管理要求，天津经济技术开发区投资促进办公室已对19个2025年度区级项目开展绩效自评，涉及金额646,503,177.50元，自评结果已随部门决算一并公开。</w:t>
      </w:r>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天津经济技术开发区投资促进办公室不属于乡、镇、街级单位，不涉及公开2025年度教育、医疗卫生、社会保障和就业、住房保障、涉农补贴等民生支出情况。</w:t>
      </w: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ABDB4E5-4F1C-4B68-8B78-2F1C5C3EDB6C}"/>
  </w:font>
  <w:font w:name="Arial">
    <w:panose1 w:val="020B0604020202020204"/>
    <w:charset w:val="01"/>
    <w:family w:val="swiss"/>
    <w:pitch w:val="default"/>
    <w:sig w:usb0="E0002AFF" w:usb1="C0007843" w:usb2="00000009" w:usb3="00000000" w:csb0="400001FF" w:csb1="FFFF0000"/>
    <w:embedRegular r:id="rId2" w:fontKey="{E1BAFDC2-E655-4C05-A25D-881932881462}"/>
  </w:font>
  <w:font w:name="黑体">
    <w:panose1 w:val="02010609060101010101"/>
    <w:charset w:val="86"/>
    <w:family w:val="auto"/>
    <w:pitch w:val="default"/>
    <w:sig w:usb0="800002BF" w:usb1="38CF7CFA" w:usb2="00000016" w:usb3="00000000" w:csb0="00040001" w:csb1="00000000"/>
    <w:embedRegular r:id="rId3" w:fontKey="{9FF84CFB-40F2-4650-BBF0-C7904FAECEA7}"/>
  </w:font>
  <w:font w:name="Courier New">
    <w:panose1 w:val="02070309020205020404"/>
    <w:charset w:val="01"/>
    <w:family w:val="modern"/>
    <w:pitch w:val="default"/>
    <w:sig w:usb0="E0002AFF" w:usb1="C0007843" w:usb2="00000009" w:usb3="00000000" w:csb0="400001FF" w:csb1="FFFF0000"/>
    <w:embedRegular r:id="rId4" w:fontKey="{4C235736-E42F-4702-BDBD-48CF7F55BCFB}"/>
  </w:font>
  <w:font w:name="Symbol">
    <w:panose1 w:val="05050102010706020507"/>
    <w:charset w:val="02"/>
    <w:family w:val="roman"/>
    <w:pitch w:val="default"/>
    <w:sig w:usb0="00000000" w:usb1="00000000" w:usb2="00000000" w:usb3="00000000" w:csb0="80000000" w:csb1="00000000"/>
    <w:embedRegular r:id="rId5" w:fontKey="{10209FC0-C4FD-4105-BDBC-1C1781E3FC36}"/>
  </w:font>
  <w:font w:name="Calibri">
    <w:panose1 w:val="020F0502020204030204"/>
    <w:charset w:val="00"/>
    <w:family w:val="swiss"/>
    <w:pitch w:val="default"/>
    <w:sig w:usb0="E00002FF" w:usb1="4000ACFF" w:usb2="00000001" w:usb3="00000000" w:csb0="2000019F" w:csb1="00000000"/>
    <w:embedRegular r:id="rId6" w:fontKey="{4D5EFF6F-5D03-4690-B89C-518430874CEA}"/>
  </w:font>
  <w:font w:name="Cambria">
    <w:panose1 w:val="02040503050406030204"/>
    <w:charset w:val="00"/>
    <w:family w:val="roman"/>
    <w:pitch w:val="default"/>
    <w:sig w:usb0="E00002FF" w:usb1="400004FF" w:usb2="00000000" w:usb3="00000000" w:csb0="2000019F" w:csb1="00000000"/>
    <w:embedRegular r:id="rId7" w:fontKey="{FB3A3874-458C-4E02-926E-E56857D4AAD8}"/>
  </w:font>
  <w:font w:name="方正小标宋简体">
    <w:panose1 w:val="03000509000000000000"/>
    <w:charset w:val="86"/>
    <w:family w:val="auto"/>
    <w:pitch w:val="default"/>
    <w:sig w:usb0="00000001" w:usb1="080E0000" w:usb2="00000000" w:usb3="00000000" w:csb0="00040000" w:csb1="00000000"/>
    <w:embedRegular r:id="rId8" w:fontKey="{A41CE78F-F18C-4D65-9C58-1E58BFFF6C18}"/>
  </w:font>
  <w:font w:name="仿宋">
    <w:panose1 w:val="02010609060101010101"/>
    <w:charset w:val="86"/>
    <w:family w:val="auto"/>
    <w:pitch w:val="default"/>
    <w:sig w:usb0="800002BF" w:usb1="38CF7CFA" w:usb2="00000016" w:usb3="00000000" w:csb0="00040001" w:csb1="00000000"/>
    <w:embedRegular r:id="rId9" w:fontKey="{575F78E6-C9BD-4738-8FDC-4BFE376E0130}"/>
  </w:font>
  <w:font w:name="方正仿宋_GB2312">
    <w:altName w:val="仿宋"/>
    <w:panose1 w:val="02000000000000000000"/>
    <w:charset w:val="86"/>
    <w:family w:val="auto"/>
    <w:pitch w:val="default"/>
    <w:sig w:usb0="00000000" w:usb1="00000000" w:usb2="00000012" w:usb3="00000000" w:csb0="00040001" w:csb1="00000000"/>
    <w:embedRegular r:id="rId10" w:fontKey="{1570B36E-2E5C-4A62-8921-EFB84310B491}"/>
  </w:font>
  <w:font w:name="仿宋_GB2312">
    <w:panose1 w:val="02010609030101010101"/>
    <w:charset w:val="86"/>
    <w:family w:val="auto"/>
    <w:pitch w:val="default"/>
    <w:sig w:usb0="00000001" w:usb1="080E0000" w:usb2="00000000" w:usb3="00000000" w:csb0="00040000" w:csb1="00000000"/>
    <w:embedRegular r:id="rId11" w:fontKey="{5D55229D-1AA5-42C7-BEFD-9A6A02E34993}"/>
  </w:font>
  <w:font w:name="方正楷体_GB2312">
    <w:altName w:val="宋体"/>
    <w:panose1 w:val="02000000000000000000"/>
    <w:charset w:val="86"/>
    <w:family w:val="auto"/>
    <w:pitch w:val="default"/>
    <w:sig w:usb0="00000000" w:usb1="00000000" w:usb2="00000012" w:usb3="00000000" w:csb0="00040001" w:csb1="00000000"/>
    <w:embedRegular r:id="rId12" w:fontKey="{3C586671-304B-413F-ABEE-24227C66241A}"/>
  </w:font>
  <w:font w:name="等线">
    <w:panose1 w:val="02010600030101010101"/>
    <w:charset w:val="86"/>
    <w:family w:val="auto"/>
    <w:pitch w:val="default"/>
    <w:sig w:usb0="A00002BF" w:usb1="38CF7CFA" w:usb2="00000016" w:usb3="00000000" w:csb0="0004000F" w:csb1="00000000"/>
    <w:embedRegular r:id="rId13" w:fontKey="{621A77BB-5E10-4737-AF18-647F9C1B9313}"/>
  </w:font>
  <w:font w:name="楷体">
    <w:panose1 w:val="02010609060101010101"/>
    <w:charset w:val="86"/>
    <w:family w:val="decorative"/>
    <w:pitch w:val="default"/>
    <w:sig w:usb0="800002BF" w:usb1="38CF7CFA" w:usb2="00000016" w:usb3="00000000" w:csb0="00040001" w:csb1="00000000"/>
    <w:embedRegular r:id="rId14" w:fontKey="{65F8E6A8-C36D-4A80-8537-03756B2C98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6"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7"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8"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7" o:spid="_x0000_s205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33B2756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2">
    <w:name w:val="Default Paragraph Font"/>
    <w:unhideWhenUsed/>
    <w:uiPriority w:val="0"/>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table" w:styleId="4">
    <w:name w:val="Table Grid"/>
    <w:basedOn w:val="3"/>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Layout w:type="fixed"/>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2"/>
    <w:qFormat/>
    <w:uiPriority w:val="0"/>
    <w:rPr>
      <w:rFonts w:hint="eastAsia" w:ascii="宋体" w:hAnsi="宋体" w:eastAsia="宋体" w:cs="宋体"/>
      <w:color w:val="000000"/>
      <w:sz w:val="20"/>
      <w:szCs w:val="20"/>
      <w:u w:val="none"/>
    </w:rPr>
  </w:style>
  <w:style w:type="character" w:customStyle="1" w:styleId="28">
    <w:name w:val="font11"/>
    <w:basedOn w:val="2"/>
    <w:qFormat/>
    <w:uiPriority w:val="0"/>
    <w:rPr>
      <w:rFonts w:hint="eastAsia" w:ascii="宋体" w:hAnsi="宋体" w:eastAsia="宋体" w:cs="宋体"/>
      <w:color w:val="000000"/>
      <w:sz w:val="22"/>
      <w:szCs w:val="22"/>
      <w:u w:val="none"/>
    </w:rPr>
  </w:style>
  <w:style w:type="table" w:customStyle="1" w:styleId="29">
    <w:name w:val="普通表格1"/>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c63ce3-a646-4c66-826e-288673bc1d4f}">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34</Pages>
  <Words>3930</Words>
  <Characters>23360</Characters>
  <Lines>60</Lines>
  <Paragraphs>16</Paragraphs>
  <TotalTime>4</TotalTime>
  <ScaleCrop>false</ScaleCrop>
  <LinksUpToDate>false</LinksUpToDate>
  <CharactersWithSpaces>23943</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zhaolu</cp:lastModifiedBy>
  <cp:lastPrinted>2025-06-25T07:52:00Z</cp:lastPrinted>
  <dcterms:modified xsi:type="dcterms:W3CDTF">2026-09-09T01:53:47Z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