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天津经济技术开发区政务服务办公室</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天津经济技术开发区政务服务办公室</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 贯彻执行国家、天津市和滨海新区有关政务服务、行政审批、营商环境建设、投资项目评审等方面的法律、法规、规章和方针、政策。 2.协调推动政务服务事项（含有关权责清单事项和公共服务事项）的具体实施，组织推动有关部门提供优质、规范、高效的政务服务。 3.负责行政审批制度改革工作，推动审批和监管联动，提高政务服务效能。 4. 承担经开区优化营商环境领导小组办公室日常工作，负责组织推动、统筹协调、指导监督各部门协同开展营商环境优化工作。 5. 负责投资项目、城市管理、涉农事务、水务、住房建设、交通运输、教育体育、文化旅游、卫生健康、民族宗教、民政司法、人力资源、经贸商务等方面的行政审批以及相关事项，并承担相应的法律责任。 6. 负责政府投资项目评审工作并承担相应的法律责任。 7.牵头推进政务服务标准化。组织推动有关部门对政务服务事项，按照天津市推进审批服务标准化的有关要求，科学细化量化审批服务标准，编制标准化工作流程、规程和办事指南。牵头制定政务服务运行评价标准，建立相应监督评价机制并组织实施。 8.牵头组织推动减证便民行动。组织各部门全面清理各类无谓证明材料，依法减少各类繁琐环节和手续，对各类证明事项严格实行清单式管理。 9.组织推行政务服务事项集中办理。推动政务服务“一门一网一次”一站式办理，建立健全部门联办机制。探索推行政务服务全程代办帮办服务机制，全面推行政务服务过程和结果公开公示，开展政务服务效能监督。 10.牵头组织实施本区“互联网+政务服务”。会同有关部门组织拟订政务服务信息共享的种类、标准、范围、流程，协调推动部门政务服务联通共享、业务协同、网上办理。 11.牵头推动深化行政审批中介服务改革。组织有关部门减少不必要的行政审批中介服务事项，推动建立服务高效、公平竞争、运行规范、监督有力的审批中介服务市场。依托全市统一的政务“一网通”平台，开展审批中介服务网上选取、应用管理，对政府部门委托开展的技术性服务活动进行监督。 12.负责政务服务咨询投诉处置工作，配合有关部门做好转请、督办事项落实工作。 13.负责本领域安全生产管理工作。 14.贯彻落实本部门全面从严治党主体责任，严格落实基层党建工作任务，发挥党组织战斗堡垒作用和党员先锋模范作用。 15. 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天津经济技术开发区政务服务办公室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部门本级（内设11个职能科室）。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天津经济技术开发区政务服务办公室</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28138188.80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28138188.80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28138188.80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28138188.80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28138188.80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28138188.80</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天津经济技术开发区政务服务办公室</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28138188.80</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28138188.80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28138188.80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28138188.80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28138188.80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28138188.80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12268660.98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12268660.98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15869527.82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15869527.82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天津经济技术开发区政务服务办公室</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28138188.80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28138188.80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28138188.80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319101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天津经济技术开发区政务服务办公室</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28138188.80</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28138188.80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28138188.80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天津经济技术开发区政务服务办公室</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319101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天津经济技术开发区政务服务办公室</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天津经济技术开发区政务服务办公室</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28138188.80</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12268660.98</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15869527.82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28138188.80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12268660.98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15869527.82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28138188.80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12268660.98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15869527.82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12268660.98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12268660.98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15869527.82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15869527.82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天津经济技术开发区政务服务办公室</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28138188.80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天津经济技术开发区政务服务办公室</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28138188.80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12268660.98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11540706.21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727954.77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15869527.82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28138188.80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12268660.98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11540706.21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727954.77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15869527.82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28138188.80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12268660.98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11540706.21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727954.77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15869527.82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12268660.98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12268660.98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11540706.21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727954.77</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15869527.82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15869527.82</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天津经济技术开发区政务服务办公室</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11540706.21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692954.77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2335512.00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140205.40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35000.00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5406781.83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35000.00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50364.00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599904.00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299952.00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374940.00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64961.42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26800.38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32800.00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2496816.00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1455.00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151213.00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175842.00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64730.95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11540706.21</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727954.77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天津经济技术开发区政务服务办公室</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天津经济技术开发区政务服务办公室2025年度政府性基金预算财政拨款收入支出决算表为空表。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天津经济技术开发区政务服务办公室</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天津经济技术开发区政务服务办公室2025年度国有资本经营预算财政拨款收入支出决算表为空表。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天津经济技术开发区政务服务办公室</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34255.00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32800.00</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1455.00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天津经济技术开发区政务服务办公室</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15869527.82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15869527.82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15869527.82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15869527.82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15869527.82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15869527.82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15869527.82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15869527.82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天津经济技术开发区政务服务办公室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28,138,188.80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减少13,001,486.04元，下降31.60%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上年度错年支付房租费用，且本年度人员减少，因此本年度收入、支出较上年大幅下降</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一般公共预算财政拨款收入28,138,188.80元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一般公共服务支出28,138,188.80元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天津经济技术开发区政务服务办公室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28,138,188.80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减少13,001,486.04元，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上年度错年支付房租费用，且本年度人员减少，因此本年度收入较上年大幅下降</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一般公共预算财政拨款收入28,138,188.80元，占100.00%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天津经济技术开发区政务服务办公室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28,138,188.80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减少13,001,486.04元，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上年度错年支付房租费用，且本年度人员减少，因此本年度支出较上年大幅下降</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基本支出12,268,660.98元，占43.60%；项目支出15,869,527.82元，占56.40%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天津经济技术开发区政务服务办公室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28,138,188.80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减少13,001,486.04元，下降31.60%，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上年度错年支付房租费用，且本年度人员减少，因此本年度财政拨款收入、支出较上年大幅下降</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一般公共预算财政拨款28,138,188.80元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一般公共服务支出28,138,188.80元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天津经济技术开发区政务服务办公室2025年度一般公共预算财政拨款支出合计28,138,188.80元，占本年支出合计的100.00%。与2024年度相比，一般公共预算财政拨款支出</w:t>
      </w:r>
      <w:r>
        <w:rPr>
          <w:rFonts w:eastAsia="仿宋_GB2312" w:hint="eastAsia"/>
          <w:sz w:val="30"/>
          <w:szCs w:val="30"/>
          <w:highlight w:val="none"/>
          <w:lang w:val="en-US" w:eastAsia="zh-CN"/>
        </w:rPr>
        <w:t xml:space="preserve">减少13,001,486.04元</w:t>
      </w:r>
      <w:r>
        <w:rPr>
          <w:rFonts w:eastAsia="仿宋_GB2312" w:hint="eastAsia"/>
          <w:sz w:val="30"/>
          <w:szCs w:val="30"/>
          <w:highlight w:val="none"/>
          <w:lang w:val="en-US" w:eastAsia="zh-CN"/>
        </w:rPr>
        <w:t xml:space="preserve">，下降31.60%</w:t>
      </w:r>
      <w:r>
        <w:rPr>
          <w:rFonts w:eastAsia="仿宋_GB2312" w:hint="eastAsia"/>
          <w:sz w:val="30"/>
          <w:szCs w:val="30"/>
          <w:highlight w:val="none"/>
          <w:lang w:val="en-US" w:eastAsia="zh-CN"/>
        </w:rPr>
        <w:t xml:space="preserve">，主要原因是上年度错年支付房租费用，且本年度人员减少，因此本年度一般公共预算财政拨款支出较上年大幅下降。</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2025年度一般公共预算财政拨款支出28,138,188.80元，主要用于以下方面：</w:t>
      </w:r>
      <w:r>
        <w:rPr>
          <w:rFonts w:eastAsia="仿宋_GB2312" w:hint="eastAsia"/>
          <w:sz w:val="30"/>
          <w:szCs w:val="30"/>
          <w:highlight w:val="none"/>
        </w:rPr>
        <w:t xml:space="preserve">一般公共服务支出（类）支出28,138,188.80元，占100.00%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2025年度一般公共预算财政拨款支出年初预算为30,757,600.00元，支出决算为28,138,188.80元</w:t>
      </w:r>
      <w:r>
        <w:rPr>
          <w:rFonts w:eastAsia="仿宋_GB2312" w:hint="eastAsia"/>
          <w:sz w:val="30"/>
          <w:szCs w:val="30"/>
          <w:highlight w:val="none"/>
          <w:lang w:val="en-US" w:eastAsia="zh-CN"/>
        </w:rPr>
        <w:t xml:space="preserve">，完成年初预算的91.48%</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行政运行（项）年初预算为14,357,600.00元，支出决算为12,268,660.98元，完成年初预算的85.45%，决算数小于年初预算数的主要原因是：厉行节约，压减非刚性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政府办公厅（室）及相关机构事务（款）一般行政管理事务（项）年初预算为16,400,000.00元，支出决算为15,869,527.82元，完成年初预算的96.77%，决算数小于年初预算数的主要原因是：严格按照预算执行，实际合同金额略低于预算额度。</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天津经济技术开发区政务服务办公室2025年度一般公共预算财政拨款基本支出合计12,268,660.98元，与2024年度相比</w:t>
      </w:r>
      <w:r>
        <w:rPr>
          <w:rFonts w:eastAsia="仿宋_GB2312" w:hint="eastAsia"/>
          <w:sz w:val="30"/>
          <w:szCs w:val="30"/>
          <w:highlight w:val="none"/>
          <w:lang w:val="en-US" w:eastAsia="zh-CN"/>
        </w:rPr>
        <w:t xml:space="preserve">减少3,224,947.34元，</w:t>
      </w:r>
      <w:r>
        <w:rPr>
          <w:rFonts w:eastAsia="仿宋_GB2312" w:hint="eastAsia"/>
          <w:sz w:val="30"/>
          <w:szCs w:val="30"/>
          <w:highlight w:val="none"/>
          <w:lang w:val="en-US" w:eastAsia="zh-CN"/>
        </w:rPr>
        <w:t xml:space="preserve">主要原因是人员减少，公用及人员经费减少。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人员经费11,540,706.21元，主要包括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公用经费727,954.77元，主要包括</w:t>
      </w:r>
      <w:r>
        <w:rPr>
          <w:rFonts w:eastAsia="仿宋_GB2312" w:hint="eastAsia"/>
          <w:sz w:val="30"/>
          <w:szCs w:val="30"/>
          <w:highlight w:val="none"/>
          <w:lang w:val="en-US" w:eastAsia="zh-CN"/>
        </w:rPr>
        <w:t xml:space="preserve">办公费、水费、邮电费、差旅费、因公出国（境）费用、维修(护)费、租赁费、培训费、公务接待费、劳务费、委托业务费、其他交通费用、其他商品和服务支出、办公设备购置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天津经济技术开发区政务服务办公室2025年度无政府性基金预算财政拨款收入、支出和结转结余。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天津经济技术开发区政务服务办公室2025年度无国有资本经营预算财政拨款收入、支出和结转结余。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36,800.00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34,255.00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减少2,545.00元</w:t>
      </w:r>
      <w:r>
        <w:rPr>
          <w:rFonts w:eastAsia="仿宋_GB2312" w:hint="eastAsia"/>
          <w:sz w:val="30"/>
          <w:szCs w:val="30"/>
          <w:highlight w:val="none"/>
          <w:lang w:val="en-US" w:eastAsia="zh-CN"/>
        </w:rPr>
        <w:t xml:space="preserve">，完成预算的93.08%</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支出决算较上年增加31,990.00元</w:t>
      </w:r>
      <w:r>
        <w:rPr>
          <w:rFonts w:eastAsia="仿宋_GB2312" w:hint="eastAsia"/>
          <w:sz w:val="30"/>
          <w:szCs w:val="30"/>
          <w:highlight w:val="none"/>
          <w:lang w:val="en-US" w:eastAsia="zh-CN"/>
        </w:rPr>
        <w:t xml:space="preserve">，增长1412.36%</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决算数小于预算数的主要原因是严控“三公”经费支出；</w:t>
      </w:r>
      <w:r>
        <w:rPr>
          <w:rFonts w:eastAsia="仿宋_GB2312" w:hint="eastAsia"/>
          <w:sz w:val="30"/>
          <w:szCs w:val="30"/>
          <w:highlight w:val="none"/>
          <w:lang w:val="en-US" w:eastAsia="zh-CN"/>
        </w:rPr>
        <w:t xml:space="preserve">决算数较上年增加的主要原因是本年度增加必要的因公出国任务，因公出国（境）费较上年度增加。</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32,800.00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32,800.00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支出决算较上年增加32,800.00元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决算数与预算数持平的主要原因是严格按预算执行；</w:t>
      </w:r>
      <w:r>
        <w:rPr>
          <w:rFonts w:eastAsia="仿宋_GB2312" w:hint="eastAsia"/>
          <w:sz w:val="30"/>
          <w:szCs w:val="30"/>
          <w:highlight w:val="none"/>
          <w:lang w:val="en-US" w:eastAsia="zh-CN"/>
        </w:rPr>
        <w:t xml:space="preserve">决算数较上年增加的主要原因是本年度增加必要的因公出国任务，因公出国（境）费较上年度增加。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4,000.00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1,455.00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减少2,545.00元</w:t>
      </w:r>
      <w:r>
        <w:rPr>
          <w:rFonts w:eastAsia="仿宋_GB2312" w:hint="eastAsia"/>
          <w:sz w:val="30"/>
          <w:szCs w:val="30"/>
          <w:highlight w:val="none"/>
          <w:lang w:val="en-US" w:eastAsia="zh-CN"/>
        </w:rPr>
        <w:t xml:space="preserve">，完成预算的36.38%</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支出决算较上年减少810.00元</w:t>
      </w:r>
      <w:r>
        <w:rPr>
          <w:rFonts w:eastAsia="仿宋_GB2312" w:hint="eastAsia"/>
          <w:sz w:val="30"/>
          <w:szCs w:val="30"/>
          <w:highlight w:val="none"/>
          <w:lang w:val="en-US" w:eastAsia="zh-CN"/>
        </w:rPr>
        <w:t xml:space="preserve">，下降35.76%</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决算数小于预算数的主要原因是严控公务接待费支出；</w:t>
      </w:r>
      <w:r>
        <w:rPr>
          <w:rFonts w:eastAsia="仿宋_GB2312" w:hint="eastAsia"/>
          <w:sz w:val="30"/>
          <w:szCs w:val="30"/>
          <w:highlight w:val="none"/>
          <w:lang w:val="en-US" w:eastAsia="zh-CN"/>
        </w:rPr>
        <w:t xml:space="preserve">决算数较上年减少的主要原因是公务接待活动减少，费用支出减少。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34</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政务服务办公室2025年度机关运行经费年初预算850,700.00元，决算数727,954.77元，与年初预算相比</w:t>
      </w:r>
      <w:r>
        <w:rPr>
          <w:rFonts w:eastAsia="仿宋_GB2312" w:hint="eastAsia"/>
          <w:sz w:val="30"/>
          <w:szCs w:val="30"/>
          <w:highlight w:val="none"/>
          <w:lang w:val="en-US" w:eastAsia="zh-CN"/>
        </w:rPr>
        <w:t xml:space="preserve">减少122,745.23元，</w:t>
      </w:r>
      <w:r>
        <w:rPr>
          <w:rFonts w:eastAsia="仿宋_GB2312" w:hint="eastAsia"/>
          <w:sz w:val="30"/>
          <w:szCs w:val="30"/>
          <w:highlight w:val="none"/>
          <w:lang w:val="en-US" w:eastAsia="zh-CN"/>
        </w:rPr>
        <w:t xml:space="preserve">完成年初预算的85.57%；</w:t>
      </w:r>
      <w:r>
        <w:rPr>
          <w:rFonts w:eastAsia="仿宋_GB2312" w:hint="eastAsia"/>
          <w:sz w:val="30"/>
          <w:szCs w:val="30"/>
          <w:highlight w:val="none"/>
          <w:lang w:val="en-US" w:eastAsia="zh-CN"/>
        </w:rPr>
        <w:t xml:space="preserve">比2024年减少130,891.28元</w:t>
      </w:r>
      <w:r>
        <w:rPr>
          <w:rFonts w:eastAsia="仿宋_GB2312" w:hint="eastAsia"/>
          <w:sz w:val="30"/>
          <w:szCs w:val="30"/>
          <w:highlight w:val="none"/>
          <w:lang w:val="en-US" w:eastAsia="zh-CN"/>
        </w:rPr>
        <w:t xml:space="preserve">，下降15.24%</w:t>
      </w:r>
      <w:r>
        <w:rPr>
          <w:rFonts w:eastAsia="仿宋_GB2312" w:hint="eastAsia"/>
          <w:sz w:val="30"/>
          <w:szCs w:val="30"/>
          <w:highlight w:val="none"/>
          <w:lang w:val="en-US" w:eastAsia="zh-CN"/>
        </w:rPr>
        <w:t xml:space="preserve">。主要原因是：压减非刚性支出，优化调整部门公务活动。</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政务服务办公室2025年政府采购支出总额12,184,763.70元，其中：政府采购货物支出0.00元、政府采购工程支出0.00元、政府采购服务支出12,184,763.70元。授予中小企业合同金额12,184,763.70元，占政府采购支出总额的100.00%，其中：授予小微企业合同金额5,829,875.20元，占政府采购支出总额的47.85%；货物采购授予中小企业合同金额占货物支出金额的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截至2025年12月31日，天津经济技术开发区政务服务办公室共有车辆0辆</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根据预算绩效管理要求，天津经济技术开发区政务服务办公室已对5个2025年度区级项目开展绩效自评，涉及金额16,450,000.00元，自评结果已随部门决算一并公开。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天津经济技术开发区政务服务办公室不属于乡、镇、街级单位，不涉及公开2025年度教育、医疗卫生、社会保障和就业、住房保障、涉农补贴等民生支出情况。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D54195F1-9E1F-4123-9C7C-4DAD05A33360}"/>
    <w:embedBold r:id="rId2" w:subsetted="1" w:fontKey="{FC894C9F-5423-46C0-A4F3-959D663AF09C}"/>
  </w:font>
  <w:font w:name="Cambria">
    <w:panose1 w:val="02040503050406030204"/>
    <w:charset w:val="00"/>
    <w:family w:val="roman"/>
    <w:pitch w:val="default"/>
    <w:sig w:usb0="E00006FF" w:usb1="420024FF" w:usb2="02000000" w:usb3="00000000" w:csb0="2000019F" w:csb1="00000000"/>
    <w:embedRegular r:id="rId3" w:fontKey="{5E3C8173-D6D8-4961-935C-A3EA9E311566}"/>
  </w:font>
  <w:font w:name="Calibri">
    <w:panose1 w:val="020F0502020204030204"/>
    <w:charset w:val="00"/>
    <w:family w:val="swiss"/>
    <w:pitch w:val="default"/>
    <w:sig w:usb0="E4002EFF" w:usb1="C200247B" w:usb2="00000009" w:usb3="00000000" w:csb0="200001FF" w:csb1="00000000"/>
    <w:embedRegular r:id="rId4" w:fontKey="{87BA3B0F-4736-42BC-8E42-22187DC7AD9E}"/>
  </w:font>
  <w:font w:name="黑体">
    <w:panose1 w:val="02010609060101010101"/>
    <w:charset w:val="FFFFFF86"/>
    <w:family w:val="auto"/>
    <w:pitch w:val="default"/>
    <w:sig w:usb0="800002BF" w:usb1="38CF7CFA" w:usb2="00000016" w:usb3="00000000" w:csb0="00040001" w:csb1="00000000"/>
    <w:embedRegular r:id="rId5" w:subsetted="1" w:fontKey="{7C0AA358-55F5-4CE7-867E-4BA92393E321}"/>
    <w:embedBold r:id="rId6" w:subsetted="1" w:fontKey="{F890DA54-1364-463D-93F0-DA8D4CE4C1DE}"/>
  </w:font>
  <w:font w:name="方正小标宋简体">
    <w:altName w:val="黑体"/>
    <w:panose1 w:val="02000000000000000000"/>
    <w:charset w:val="FFFFFF86"/>
    <w:family w:val="auto"/>
    <w:pitch w:val="default"/>
    <w:sig w:usb0="00000001" w:usb1="08000000" w:usb2="00000000" w:usb3="00000000" w:csb0="00040000" w:csb1="00000000"/>
    <w:embedRegular r:id="rId7" w:fontKey="{234BF287-DE5F-4384-B921-21A50A13530E}"/>
    <w:embedBold r:id="rId8" w:fontKey="{897F04A9-341D-43B5-B03D-08585C0B660E}"/>
  </w:font>
  <w:font w:name="仿宋">
    <w:panose1 w:val="02010609060101010101"/>
    <w:charset w:val="FFFFFF86"/>
    <w:family w:val="auto"/>
    <w:pitch w:val="default"/>
    <w:sig w:usb0="800002BF" w:usb1="38CF7CFA" w:usb2="00000016" w:usb3="00000000" w:csb0="00040001" w:csb1="00000000"/>
    <w:embedRegular r:id="rId9" w:subsetted="1" w:fontKey="{329C9015-E856-4203-AC9A-B9B48EBEF6E6}"/>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1EA5A714-44F2-4FB7-A32C-2BE3BDD32150}"/>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95CC136C-D1FA-426E-B940-1BE8A738966E}"/>
    <w:embedBold r:id="rId12" w:subsetted="1" w:fontKey="{613C3441-FD0A-4F5F-8DC4-C91C269EACE7}"/>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