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天津经济技术开发区档案馆</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贯彻执行档案（图书）有关法律、法规和上级主管部门的有关方针政策，制定经开区档案事业发展规划和档案工作规章制度，并组织实施。接收、保管经开区有价值的档案资料，开发经开区档案信息网络和电子文件处理系统，并提供档案查询利用。监督、指导经开区各单位档案工作。组织、指导经开区档案理论与科学技术研究、档案宣传与档案教育、档案工作人员培训。向社会公众免费开放，收集、整理、保存文献信息并提供查询、借阅及相关服务，履行社会教育职能。基于客户需求，提供政府决策和科技文献服务。作为政府信息公开场所，为公民、法人或者其他组织获取政府信息提供便利。组织编写和续写经开区地方志。推动地方志的用志工作。负责编写、出版《天津经济技术开发区年鉴》。负责本领域安全生产管理工作。贯彻落实本部门全面从严治党主体责任，严格落实基层党建工作任务，发挥党组织战斗堡垒作用和党员先锋模范作用。承办党委、管委会交办的其他事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天津经济技术开发区档案馆</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27615518.79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24444082.39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49699.96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3171436.40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49699.96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27665218.75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27665218.75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27665218.75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27665218.75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27665218.75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27665218.75</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24444082.39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24444082.39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1115100.00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1115100.00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1115100.00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1115100.00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档案事务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23328982.39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23328982.39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2012604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档案馆</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23328982.39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23328982.39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文化旅游体育与传媒支出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3171436.40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3171436.40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文化和旅游</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3171436.40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3171436.40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2070109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群众文化</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3171436.40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3171436.40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49699.96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49699.96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22960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彩票公益金安排的支出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49699.96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49699.96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2296006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用于残疾人事业的彩票公益金支出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49699.96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49699.96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天津经济技术开发区档案馆</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27665218.75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27665218.75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27615518.79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49699.96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367201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天津经济技术开发区档案馆</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27665218.75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27665218.75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27615518.79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49699.96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天津经济技术开发区档案馆</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367201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天津经济技术开发区档案馆</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27665218.75</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23178982.39</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4486236.36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24444082.39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23178982.39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1265100.00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档案事务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23328982.39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23178982.39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2012604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档案馆</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23328982.39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23178982.39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文化旅游体育与传媒支出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3171436.40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3171436.40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文化和旅游</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3171436.40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3171436.40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2070109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群众文化</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3171436.40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3171436.40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49699.96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49699.96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彩票公益金安排的支出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49699.96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49699.96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用于残疾人事业的彩票公益金支出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49699.96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49699.96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27615518.79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24444082.39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24444082.39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49699.96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3171436.40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3171436.40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49699.96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49699.96</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27665218.75</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27665218.75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27615518.79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49699.96</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27665218.75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27665218.75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27615518.79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49699.96</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天津经济技术开发区档案馆</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27615518.79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23178982.39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22399937.73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779044.66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4436536.40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24444082.39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23178982.39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22399937.73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779044.66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1265100.00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1115100.00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1115100.00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1115100.00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1115100.00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档案事务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23328982.39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23178982.39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22399937.73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779044.66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2012604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档案馆</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23328982.39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23178982.39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22399937.73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779044.66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文化旅游体育与传媒支出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3171436.40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3171436.40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文化和旅游</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3171436.40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3171436.40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2070109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群众文化</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3171436.40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3171436.40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22399937.73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754786.66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4505983.39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58151.52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24258.00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10318980.04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4094.10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24258.00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24968.00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1153665.60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36929.52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576832.80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721041.00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22173.50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58923.90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5064511.00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44537.50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101178.00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313340.00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143179.52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22399937.73</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779044.66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49699.96</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49699.96</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49699.96</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彩票公益金安排的支出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2296006</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用于残疾人事业的彩票公益金支出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天津经济技术开发区档案馆2025年度国有资本经营预算财政拨款收入支出决算表为空表。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315.00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315.00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天津经济技术开发区档案馆</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4486236.36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4436536.40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49699.96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1115100.00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1115100.00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1115100.00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1115100.00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档案事务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2012604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档案馆</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文化旅游体育与传媒支出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3171436.40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3171436.40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文化和旅游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3171436.40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3171436.40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2070109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群众文化</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3171436.40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3171436.40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22960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彩票公益金安排的支出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2296006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用于残疾人事业的彩票公益金支出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49699.96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27,665,218.75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减少6,055,174.81元，下降17.96%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本年度文化旅游体育及传媒类项目减少，本年度整体收支较上年度减少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一般公共预算财政拨款收入27,615,518.79元、政府性基金预算财政拨款收入49,699.96元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一般公共服务支出24,444,082.39元、文化旅游体育与传媒支出3,171,436.40元、其他支出49,699.96元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27,665,218.75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减少6,055,174.81元，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本年度文化旅游体育及传媒类项目减少，本年度整体收入较上年度减少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一般公共预算财政拨款收入27,615,518.79元，占99.82%；政府性基金预算财政拨款收入49,699.96元，占0.18%</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27,665,218.75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减少6,055,174.81元，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本年度文化旅游体育及传媒类项目减少，本年度整体支出较上年度减少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基本支出23,178,982.39元，占83.78%；项目支出4,486,236.36元，占16.22%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27,665,218.75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减少6,055,174.81元，下降17.96%，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本年度文化旅游体育及传媒类项目减少，本年度财政拨款收支较上年度减少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一般公共预算财政拨款27,615,518.79元、政府性基金预算财政拨款49,699.96元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一般公共服务支出24,444,082.39元、文化旅游体育与传媒支出3,171,436.40元、其他支出49,699.96元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天津经济技术开发区档案馆2025年度一般公共预算财政拨款支出合计27,615,518.79元，占本年支出合计的99.82%。与2024年度相比，一般公共预算财政拨款支出</w:t>
      </w:r>
      <w:r>
        <w:rPr>
          <w:rFonts w:eastAsia="仿宋_GB2312" w:hint="eastAsia"/>
          <w:sz w:val="30"/>
          <w:szCs w:val="30"/>
          <w:highlight w:val="none"/>
          <w:lang w:val="en-US" w:eastAsia="zh-CN"/>
        </w:rPr>
        <w:t xml:space="preserve">减少6,104,874.77元</w:t>
      </w:r>
      <w:r>
        <w:rPr>
          <w:rFonts w:eastAsia="仿宋_GB2312" w:hint="eastAsia"/>
          <w:sz w:val="30"/>
          <w:szCs w:val="30"/>
          <w:highlight w:val="none"/>
          <w:lang w:val="en-US" w:eastAsia="zh-CN"/>
        </w:rPr>
        <w:t xml:space="preserve">，下降18.10%</w:t>
      </w:r>
      <w:r>
        <w:rPr>
          <w:rFonts w:eastAsia="仿宋_GB2312" w:hint="eastAsia"/>
          <w:sz w:val="30"/>
          <w:szCs w:val="30"/>
          <w:highlight w:val="none"/>
          <w:lang w:val="en-US" w:eastAsia="zh-CN"/>
        </w:rPr>
        <w:t xml:space="preserve">，主要原因是本年度文化旅游体育及传媒类项目减少，本年度一般公共预算财政拨款收支较上年度减少。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2025年度一般公共预算财政拨款支出27,615,518.79元，主要用于以下方面：</w:t>
      </w:r>
      <w:r>
        <w:rPr>
          <w:rFonts w:eastAsia="仿宋_GB2312" w:hint="eastAsia"/>
          <w:sz w:val="30"/>
          <w:szCs w:val="30"/>
          <w:highlight w:val="none"/>
        </w:rPr>
        <w:t xml:space="preserve">一般公共服务支出（类）支出24,444,082.39元，占88.52%，文化旅游体育与传媒支出（类）支出3,171,436.40元，占11.48%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2025年度一般公共预算财政拨款支出年初预算为32,043,100.00元，支出决算为27,615,518.79元</w:t>
      </w:r>
      <w:r>
        <w:rPr>
          <w:rFonts w:eastAsia="仿宋_GB2312" w:hint="eastAsia"/>
          <w:sz w:val="30"/>
          <w:szCs w:val="30"/>
          <w:highlight w:val="none"/>
          <w:lang w:val="en-US" w:eastAsia="zh-CN"/>
        </w:rPr>
        <w:t xml:space="preserve">，完成年初预算的86.18%</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1,115,100.00元，支出决算为1,115,100.00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档案事务（款）档案馆（项）年初预算为27,693,000.00元，支出决算为23,328,982.39元，完成年初预算的84.24%，决算数小于年初预算数的主要原因是：从严从紧管控一般性支出，同时优化公务活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文化旅游体育与传媒支出（类）文化和旅游（款）群众文化（项）年初预算为3,235,000.00元，支出决算为3,171,436.40元，完成年初预算的98.04%，决算数小于年初预算数的主要原因是：基本完成预算支出，实际合同金额略低于预算额度。</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天津经济技术开发区档案馆2025年度一般公共预算财政拨款基本支出合计23,178,982.39元，与2024年度相比</w:t>
      </w:r>
      <w:r>
        <w:rPr>
          <w:rFonts w:eastAsia="仿宋_GB2312" w:hint="eastAsia"/>
          <w:sz w:val="30"/>
          <w:szCs w:val="30"/>
          <w:highlight w:val="none"/>
          <w:lang w:val="en-US" w:eastAsia="zh-CN"/>
        </w:rPr>
        <w:t xml:space="preserve">减少1,629,306.77元，</w:t>
      </w:r>
      <w:r>
        <w:rPr>
          <w:rFonts w:eastAsia="仿宋_GB2312" w:hint="eastAsia"/>
          <w:sz w:val="30"/>
          <w:szCs w:val="30"/>
          <w:highlight w:val="none"/>
          <w:lang w:val="en-US" w:eastAsia="zh-CN"/>
        </w:rPr>
        <w:t xml:space="preserve">主要原因是人员调出，人员经费支出减少；同时压减非刚性支出。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人员经费22,399,937.73元，主要包括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公用经费779,044.66元，主要包括</w:t>
      </w:r>
      <w:r>
        <w:rPr>
          <w:rFonts w:eastAsia="仿宋_GB2312" w:hint="eastAsia"/>
          <w:sz w:val="30"/>
          <w:szCs w:val="30"/>
          <w:highlight w:val="none"/>
          <w:lang w:val="en-US" w:eastAsia="zh-CN"/>
        </w:rPr>
        <w:t xml:space="preserve">办公费、印刷费、手续费、水费、邮电费、差旅费、维修(护)费、培训费、公务接待费、劳务费、委托业务费、其他交通费用、其他商品和服务支出、办公设备购置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楷体" w:hint="eastAsia"/>
          <w:b/>
          <w:bCs/>
          <w:sz w:val="30"/>
          <w:szCs w:val="30"/>
          <w:highlight w:val="none"/>
          <w:lang w:val="en-US" w:eastAsia="zh-CN"/>
        </w:rPr>
      </w:pPr>
      <w:r>
        <w:rPr>
          <w:rFonts w:ascii="楷体" w:eastAsia="楷体" w:hAnsi="楷体" w:cs="楷体" w:hint="eastAsia"/>
          <w:b/>
          <w:bCs/>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天津经济技术开发区档案馆2025年度政府性基金预算财政拨款年初结转和结余0.00元，收入49,699.96元，支出49,699.96元，年末结转和结余0.00元。与2024年度相比，政府性基金预算财政拨款支出</w:t>
      </w:r>
      <w:r>
        <w:rPr>
          <w:rFonts w:eastAsia="仿宋_GB2312" w:hint="eastAsia"/>
          <w:sz w:val="30"/>
          <w:szCs w:val="30"/>
          <w:highlight w:val="none"/>
          <w:lang w:val="en-US" w:eastAsia="zh-CN"/>
        </w:rPr>
        <w:t xml:space="preserve">增加49,699.96元，</w:t>
      </w:r>
      <w:r>
        <w:rPr>
          <w:rFonts w:eastAsia="仿宋_GB2312" w:hint="eastAsia"/>
          <w:sz w:val="30"/>
          <w:szCs w:val="30"/>
          <w:highlight w:val="none"/>
          <w:lang w:val="en-US" w:eastAsia="zh-CN"/>
        </w:rPr>
        <w:t xml:space="preserve">主要原因是本年度增加上级预算资金，用于盲人图书及阅览室建设。</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2025年度政府性基金预算财政拨款支出49,699.96元，主要用于以下方面：</w:t>
      </w:r>
      <w:r>
        <w:rPr>
          <w:rFonts w:eastAsia="仿宋_GB2312" w:hint="eastAsia"/>
          <w:sz w:val="28"/>
          <w:szCs w:val="28"/>
          <w:highlight w:val="none"/>
        </w:rPr>
        <w:t xml:space="preserve">其他支出（类）支出49,699.96元，占100.00%</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2025年度政府性基金预算财政拨款支出年初预算为49,699.96元，支出决算为49,699.96元</w:t>
      </w:r>
      <w:r>
        <w:rPr>
          <w:rFonts w:eastAsia="仿宋_GB2312" w:hint="eastAsia"/>
          <w:sz w:val="30"/>
          <w:szCs w:val="30"/>
          <w:highlight w:val="none"/>
          <w:lang w:val="en-US" w:eastAsia="zh-CN"/>
        </w:rPr>
        <w:t xml:space="preserve">，完成年初预算的100.00%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其他支出（类）彩票公益金安排的支出（款）用于残疾人事业的彩票公益金支出（项）年初预算为49,699.96元，支出决算为49,699.96元，完成年初预算的100.00%，决算数与年初预算数持平的主要原因是：严格按照预算执行。</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315.00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减少4,685.00元</w:t>
      </w:r>
      <w:r>
        <w:rPr>
          <w:rFonts w:eastAsia="仿宋_GB2312" w:hint="eastAsia"/>
          <w:sz w:val="30"/>
          <w:szCs w:val="30"/>
          <w:highlight w:val="none"/>
          <w:lang w:val="en-US" w:eastAsia="zh-CN"/>
        </w:rPr>
        <w:t xml:space="preserve">，完成预算的6.30%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支出决算较上年减少3,309.00元</w:t>
      </w:r>
      <w:r>
        <w:rPr>
          <w:rFonts w:eastAsia="仿宋_GB2312" w:hint="eastAsia"/>
          <w:sz w:val="30"/>
          <w:szCs w:val="30"/>
          <w:highlight w:val="none"/>
          <w:lang w:val="en-US" w:eastAsia="zh-CN"/>
        </w:rPr>
        <w:t xml:space="preserve">，下降91.31%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决算数小于预算数的主要原因是严控公务接待支出，减少公务接待次数；</w:t>
      </w:r>
      <w:r>
        <w:rPr>
          <w:rFonts w:eastAsia="仿宋_GB2312" w:hint="eastAsia"/>
          <w:sz w:val="30"/>
          <w:szCs w:val="30"/>
          <w:highlight w:val="none"/>
          <w:lang w:val="en-US" w:eastAsia="zh-CN"/>
        </w:rPr>
        <w:t xml:space="preserve">决算数较上年减少的主要原因是本年度整合公务接待活动，减少公务接待次数，公务接待费较上年减少。</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315.00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减少4,685.00元</w:t>
      </w:r>
      <w:r>
        <w:rPr>
          <w:rFonts w:eastAsia="仿宋_GB2312" w:hint="eastAsia"/>
          <w:sz w:val="30"/>
          <w:szCs w:val="30"/>
          <w:highlight w:val="none"/>
          <w:lang w:val="en-US" w:eastAsia="zh-CN"/>
        </w:rPr>
        <w:t xml:space="preserve">，完成预算的6.30%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支出决算较上年减少3,309.00元</w:t>
      </w:r>
      <w:r>
        <w:rPr>
          <w:rFonts w:eastAsia="仿宋_GB2312" w:hint="eastAsia"/>
          <w:sz w:val="30"/>
          <w:szCs w:val="30"/>
          <w:highlight w:val="none"/>
          <w:lang w:val="en-US" w:eastAsia="zh-CN"/>
        </w:rPr>
        <w:t xml:space="preserve">，下降91.31%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决算数小于预算数的主要原因是严格落实厉行节约要求，压减接待次数；</w:t>
      </w:r>
      <w:r>
        <w:rPr>
          <w:rFonts w:eastAsia="仿宋_GB2312" w:hint="eastAsia"/>
          <w:sz w:val="30"/>
          <w:szCs w:val="30"/>
          <w:highlight w:val="none"/>
          <w:lang w:val="en-US" w:eastAsia="zh-CN"/>
        </w:rPr>
        <w:t xml:space="preserve">决算数较上年减少的主要原因是严格落实过紧日子要求，压减接待次数。</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6</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档案馆2025年政府采购支出总额3,285,970.00元，其中：政府采购货物支出678,370.00元、政府采购工程支出0.00元、政府采购服务支出2,607,600.00元。授予中小企业合同金额0.00元，占政府采购支出总额的0.00%，其中：授予小微企业合同金额1,742,960.00元，占政府采购支出总额的53.04%；货物采购授予中小企业合同金额占货物支出金额的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截至2025年12月31日，天津经济技术开发区档案馆共有车辆0辆</w:t>
      </w:r>
      <w:r>
        <w:rPr>
          <w:rFonts w:eastAsia="仿宋_GB2312" w:hint="eastAsia"/>
          <w:sz w:val="30"/>
          <w:szCs w:val="30"/>
          <w:highlight w:val="none"/>
          <w:lang w:val="en-US" w:eastAsia="zh-CN"/>
        </w:rPr>
        <w:t xml:space="preserve">。单价100万元以上的设备4台（套）。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根据预算绩效管理要求，天津经济技术开发区档案馆已对6个2025年度区级项目开展绩效自评，涉及金额4,571,500.00元，自评结果已随部门决算一并公开。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天津市经济技术开发区档案馆不属于乡、镇、街级单位，不涉及公开2025年度教育、医疗卫生、社会保障和就业、住房保障、涉农补贴等民生支出情况。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FD8A40F0-B949-42A9-BCEC-0916F678422E}"/>
    <w:embedBold r:id="rId2" w:subsetted="1" w:fontKey="{828C5040-3139-47AC-96EC-30E696F30D44}"/>
  </w:font>
  <w:font w:name="Cambria">
    <w:panose1 w:val="02040503050406030204"/>
    <w:charset w:val="00"/>
    <w:family w:val="roman"/>
    <w:pitch w:val="default"/>
    <w:sig w:usb0="E00006FF" w:usb1="420024FF" w:usb2="02000000" w:usb3="00000000" w:csb0="2000019F" w:csb1="00000000"/>
    <w:embedRegular r:id="rId3" w:fontKey="{F0234A07-C6D7-4BBE-A7E2-28F73E945EDF}"/>
  </w:font>
  <w:font w:name="Calibri">
    <w:panose1 w:val="020F0502020204030204"/>
    <w:charset w:val="00"/>
    <w:family w:val="swiss"/>
    <w:pitch w:val="default"/>
    <w:sig w:usb0="E4002EFF" w:usb1="C200247B" w:usb2="00000009" w:usb3="00000000" w:csb0="200001FF" w:csb1="00000000"/>
    <w:embedRegular r:id="rId4" w:fontKey="{10F3812B-87A1-424A-94A7-EB9E03114902}"/>
  </w:font>
  <w:font w:name="黑体">
    <w:panose1 w:val="02010609060101010101"/>
    <w:charset w:val="FFFFFF86"/>
    <w:family w:val="auto"/>
    <w:pitch w:val="default"/>
    <w:sig w:usb0="800002BF" w:usb1="38CF7CFA" w:usb2="00000016" w:usb3="00000000" w:csb0="00040001" w:csb1="00000000"/>
    <w:embedRegular r:id="rId5" w:subsetted="1" w:fontKey="{48D8DFA7-7673-4208-B45C-68D0E852AE4F}"/>
    <w:embedBold r:id="rId6" w:subsetted="1" w:fontKey="{86E6FE73-F2FA-4A9E-9AA3-AA44C4824F14}"/>
  </w:font>
  <w:font w:name="方正小标宋简体">
    <w:altName w:val="黑体"/>
    <w:panose1 w:val="02000000000000000000"/>
    <w:charset w:val="FFFFFF86"/>
    <w:family w:val="auto"/>
    <w:pitch w:val="default"/>
    <w:sig w:usb0="00000001" w:usb1="08000000" w:usb2="00000000" w:usb3="00000000" w:csb0="00040000" w:csb1="00000000"/>
    <w:embedRegular r:id="rId7" w:fontKey="{7B115CD9-4458-4131-A428-B93AAA592EBD}"/>
    <w:embedBold r:id="rId8" w:fontKey="{63E38045-0835-4B7B-9095-BB2A36433C9B}"/>
  </w:font>
  <w:font w:name="仿宋">
    <w:panose1 w:val="02010609060101010101"/>
    <w:charset w:val="FFFFFF86"/>
    <w:family w:val="auto"/>
    <w:pitch w:val="default"/>
    <w:sig w:usb0="800002BF" w:usb1="38CF7CFA" w:usb2="00000016" w:usb3="00000000" w:csb0="00040001" w:csb1="00000000"/>
    <w:embedRegular r:id="rId9" w:subsetted="1" w:fontKey="{987CC6CE-F134-4330-89DF-33C73CB535CD}"/>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96BF77CE-FD27-49E1-B4B8-EBE71053F532}"/>
  </w:font>
  <w:font w:name="方正楷体_GB2312">
    <w:altName w:val="宋体"/>
    <w:panose1 w:val="02000000000000000000"/>
    <w:charset w:val="FFFFFF86"/>
    <w:family w:val="auto"/>
    <w:pitch w:val="default"/>
    <w:sig w:usb0="A00002BF" w:usb1="184F6CFA" w:usb2="00000012" w:usb3="00000000" w:csb0="00040001" w:csb1="00000000"/>
    <w:embedRegular r:id="rId11" w:fontKey="{BF7864E5-FC69-4756-A481-186FE73DFF93}"/>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C8622802-35B4-4880-A3A8-1215119DC412}"/>
    <w:embedBold r:id="rId13" w:subsetted="1" w:fontKey="{CFC47647-2760-4105-BF2E-048D0E5E4E70}"/>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27</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30</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