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天津经济技术开发区现代服务业促进局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贯彻执行国家、天津市、滨海新区有关招商引资、经济技术协作的方针、政策，负责港产城融合、港航服务、数字经济、“互联网+”、平台经济以及商贸等现代服务业相关领域的招商引资工作,研究制定本单位业务范围内的产业发展规划及招商引资的具体政策和配套措施。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（二）负责落实党委、管委会招商引资整体工作部署，制定招商引资工作计划，分解和落实目标任务。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（三）负责开发和吸引符合我区产业发展的高质量项目，完成党委、管委会下达的各项招商指标。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（四）负责开拓并维护政府、企业、中介等各项招商渠道， 与国内外咨询机构建立业务联系。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（五）负责了解掌握国家、天津市、滨海新区的相关政策和经济动态，加强产业发展动态分析，为党委、管委会招商决策提供信息参考。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（六）负责组织开展招商相关的信息收集、对外联络、项目 开发、项目洽谈、合作协议签订等各类招商引资工作。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（七）负责协调职能部门和有关单位，做好招商项目的跟踪服务工作，推动投产运营。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（八）负责本领域安全生产管理，从行业规划、产业政策、法规标准等方面加强本领域安全生产工作，指导督促企业加强安全管理。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（九）贯彻落实本单位全面从严治党主体责任，严格落实基层党建工作任务，发挥党组织战斗堡垒作用和党员先锋模范作用。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天津经济技术开发区现代服务业促进局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部门本级（内设6个职能科室）。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天津经济技术开发区现代服务业促进局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5422605.35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5422605.35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5422605.35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5422605.35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5422605.35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5422605.35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天津经济技术开发区现代服务业促进局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5422605.35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5422605.35</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5422605.35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5422605.35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商贸事务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5422605.35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5422605.35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4958183.70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4958183.70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招商引资</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464421.65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464421.65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天津经济技术开发区现代服务业促进局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5422605.35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5422605.35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5422605.35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681101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天津经济技术开发区现代服务业促进局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5422605.35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5422605.35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5422605.35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天津经济技术开发区现代服务业促进局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681101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天津经济技术开发区现代服务业促进局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天津经济技术开发区现代服务业促进局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5422605.35</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4958183.70</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464421.65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5422605.35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4958183.70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464421.65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商贸事务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5422605.35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4958183.70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464421.65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4958183.70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4958183.70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招商引资</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464421.65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464421.65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天津经济技术开发区现代服务业促进局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5422605.35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天津经济技术开发区现代服务业促进局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5422605.35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4958183.70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4801661.52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156522.18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464421.65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5422605.35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4958183.70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4801661.52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156522.18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464421.65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商贸事务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5422605.35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4958183.70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4801661.52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156522.18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464421.65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4958183.70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4958183.70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4801661.52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156522.18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招商引资</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464421.65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464421.65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天津经济技术开发区现代服务业促进局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4801661.52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156522.18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948109.88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56336.30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2353476.04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241113.60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120556.80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150696.00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1477.00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10705.20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977004.00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6310.00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74794.00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8300.88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4801661.52</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156522.18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天津经济技术开发区现代服务业促进局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天津经济技术开发区现代服务业促进局2025年度政府性基金预算财政拨款收入支出决算表为空表。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天津经济技术开发区现代服务业促进局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天津经济技术开发区现代服务业促进局2025年度国有资本经营预算财政拨款收入支出决算表为空表。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天津经济技术开发区现代服务业促进局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天津经济技术开发区现代服务业促进局2025年财政拨款“三公”经费支出决算表为空表。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天津经济技术开发区现代服务业促进局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464421.65</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464421.65</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464421.65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464421.65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商贸事务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464421.65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464421.65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招商引资</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464421.65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464421.65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5,422,605.35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增加5,422,605.35元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本部门为机构改革新组建单位，无上年可比基数</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一般公共预算财政拨款收入5,422,605.35元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一般公共服务支出5,422,605.35元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天津经济技术开发区现代服务业促进局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5,422,605.35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增加5,422,605.35元，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本部门为机构改革新组建单位，无上年可比基数</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一般公共预算财政拨款收入5,422,605.35元，占100.00%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天津经济技术开发区现代服务业促进局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5,422,605.35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增加5,422,605.35元，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本部门为机构改革新组建单位，无上年可比基数</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基本支出4,958,183.70元，占91.44%；项目支出464,421.65元，占8.56%</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5,422,605.35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增加5,422,605.35元，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本部门为机构改革新组建单位，无上年可比基数</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一般公共预算财政拨款5,422,605.35元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一般公共服务支出5,422,605.35元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天津经济技术开发区现代服务业促进局2025年度一般公共预算财政拨款支出合计5,422,605.35元，占本年支出合计的100.00%。与2024年度相比，一般公共预算财政拨款支出</w:t>
      </w:r>
      <w:r>
        <w:rPr>
          <w:rFonts w:eastAsia="仿宋_GB2312" w:hint="eastAsia"/>
          <w:sz w:val="30"/>
          <w:szCs w:val="30"/>
          <w:highlight w:val="none"/>
          <w:lang w:val="en-US" w:eastAsia="zh-CN"/>
        </w:rPr>
        <w:t xml:space="preserve">增加5,422,605.35元</w:t>
      </w:r>
      <w:r>
        <w:rPr>
          <w:rFonts w:eastAsia="仿宋_GB2312" w:hint="eastAsia"/>
          <w:sz w:val="30"/>
          <w:szCs w:val="30"/>
          <w:highlight w:val="none"/>
          <w:lang w:val="en-US" w:eastAsia="zh-CN"/>
        </w:rPr>
        <w:t xml:space="preserve">，主要原因是本部门为机构改革新组建单位，无上年可比基数。</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2025年度一般公共预算财政拨款支出5,422,605.35元，主要用于以下方面：</w:t>
      </w:r>
      <w:r>
        <w:rPr>
          <w:rFonts w:eastAsia="仿宋_GB2312" w:hint="eastAsia"/>
          <w:sz w:val="30"/>
          <w:szCs w:val="30"/>
          <w:highlight w:val="none"/>
        </w:rPr>
        <w:t xml:space="preserve">一般公共服务支出（类）支出5,422,605.35元，占100.00%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2025年度一般公共预算财政拨款支出年初预算为6,839,000.00元，支出决算为5,422,605.35元</w:t>
      </w:r>
      <w:r>
        <w:rPr>
          <w:rFonts w:eastAsia="仿宋_GB2312" w:hint="eastAsia"/>
          <w:sz w:val="30"/>
          <w:szCs w:val="30"/>
          <w:highlight w:val="none"/>
          <w:lang w:val="en-US" w:eastAsia="zh-CN"/>
        </w:rPr>
        <w:t xml:space="preserve">，完成年初预算的79.29%</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商贸事务（款）行政运行（项）年初预算为5,839,000.00元，支出决算为4,958,183.70元，完成年初预算的84.91%，决算数小于年初预算数的主要原因是：从严从紧管控一般性支出，压减非刚性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商贸事务（款）招商引资（项）年初预算为1,000,000.00元，支出决算为464,421.65元，完成年初预算的46.44%，决算数小于年初预算数的主要原因是：从严管控招商相关支出，统筹整合招商推介活动，压减非必要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天津经济技术开发区现代服务业促进局2025年度一般公共预算财政拨款基本支出合计4,958,183.70元，与2024年度相比</w:t>
      </w:r>
      <w:r>
        <w:rPr>
          <w:rFonts w:eastAsia="仿宋_GB2312" w:hint="eastAsia"/>
          <w:sz w:val="30"/>
          <w:szCs w:val="30"/>
          <w:highlight w:val="none"/>
          <w:lang w:val="en-US" w:eastAsia="zh-CN"/>
        </w:rPr>
        <w:t xml:space="preserve">增加4,958,183.70元，</w:t>
      </w:r>
      <w:r>
        <w:rPr>
          <w:rFonts w:eastAsia="仿宋_GB2312" w:hint="eastAsia"/>
          <w:sz w:val="30"/>
          <w:szCs w:val="30"/>
          <w:highlight w:val="none"/>
          <w:lang w:val="en-US" w:eastAsia="zh-CN"/>
        </w:rPr>
        <w:t xml:space="preserve">主要原因是本部门为机构改革新组建单位，无上年可比基数。</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人员经费4,801,661.52元，主要包括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公用经费156,522.18元，主要包括</w:t>
      </w:r>
      <w:r>
        <w:rPr>
          <w:rFonts w:eastAsia="仿宋_GB2312" w:hint="eastAsia"/>
          <w:sz w:val="30"/>
          <w:szCs w:val="30"/>
          <w:highlight w:val="none"/>
          <w:lang w:val="en-US" w:eastAsia="zh-CN"/>
        </w:rPr>
        <w:t xml:space="preserve">办公费、手续费、水费、邮电费、差旅费、维修(护)费、培训费、委托业务费、其他交通费用、其他商品和服务支出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减少20,000.00元</w:t>
      </w:r>
      <w:r>
        <w:rPr>
          <w:rFonts w:eastAsia="仿宋_GB2312" w:hint="eastAsia"/>
          <w:sz w:val="30"/>
          <w:szCs w:val="30"/>
          <w:highlight w:val="none"/>
          <w:lang w:val="en-US" w:eastAsia="zh-CN"/>
        </w:rPr>
        <w:t xml:space="preserve">，完成预算的0.00%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减少20,000.00元</w:t>
      </w:r>
      <w:r>
        <w:rPr>
          <w:rFonts w:eastAsia="仿宋_GB2312" w:hint="eastAsia"/>
          <w:sz w:val="30"/>
          <w:szCs w:val="30"/>
          <w:highlight w:val="none"/>
          <w:lang w:val="en-US" w:eastAsia="zh-CN"/>
        </w:rPr>
        <w:t xml:space="preserve">，完成预算的0.00%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决算数小于预算数的主要原因是本年度未用财政预算经费列支因公出国（境）费；</w:t>
      </w:r>
      <w:r>
        <w:rPr>
          <w:rFonts w:eastAsia="仿宋_GB2312" w:hint="eastAsia"/>
          <w:sz w:val="30"/>
          <w:szCs w:val="30"/>
          <w:highlight w:val="none"/>
          <w:lang w:val="en-US" w:eastAsia="zh-CN"/>
        </w:rPr>
        <w:t xml:space="preserve">决算数较上年持平的主要原因是本年度未用财政预算经费列支因公出国（境）费。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决算数与预算数持平的主要原因是本年度未用财政预算经费列支公务用车购置及运行维护费；</w:t>
      </w:r>
      <w:r>
        <w:rPr>
          <w:rFonts w:eastAsia="仿宋_GB2312" w:hint="eastAsia"/>
          <w:sz w:val="30"/>
          <w:szCs w:val="30"/>
          <w:highlight w:val="none"/>
          <w:lang w:val="en-US" w:eastAsia="zh-CN"/>
        </w:rPr>
        <w:t xml:space="preserve">决算数较上年持平的主要原因是本年度未用财政预算经费列支公务用车购置及运行维护费。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现代服务业促进局2025年度机关运行经费年初预算313,800.00元，决算数156,522.18元，与年初预算相比</w:t>
      </w:r>
      <w:r>
        <w:rPr>
          <w:rFonts w:eastAsia="仿宋_GB2312" w:hint="eastAsia"/>
          <w:sz w:val="30"/>
          <w:szCs w:val="30"/>
          <w:highlight w:val="none"/>
          <w:lang w:val="en-US" w:eastAsia="zh-CN"/>
        </w:rPr>
        <w:t xml:space="preserve">减少157,277.82元，</w:t>
      </w:r>
      <w:r>
        <w:rPr>
          <w:rFonts w:eastAsia="仿宋_GB2312" w:hint="eastAsia"/>
          <w:sz w:val="30"/>
          <w:szCs w:val="30"/>
          <w:highlight w:val="none"/>
          <w:lang w:val="en-US" w:eastAsia="zh-CN"/>
        </w:rPr>
        <w:t xml:space="preserve">完成年初预算的49.88%；</w:t>
      </w:r>
      <w:r>
        <w:rPr>
          <w:rFonts w:eastAsia="仿宋_GB2312" w:hint="eastAsia"/>
          <w:sz w:val="30"/>
          <w:szCs w:val="30"/>
          <w:highlight w:val="none"/>
          <w:lang w:val="en-US" w:eastAsia="zh-CN"/>
        </w:rPr>
        <w:t xml:space="preserve">比2024年增加156,522.18元</w:t>
      </w:r>
      <w:r>
        <w:rPr>
          <w:rFonts w:eastAsia="仿宋_GB2312" w:hint="eastAsia"/>
          <w:sz w:val="30"/>
          <w:szCs w:val="30"/>
          <w:highlight w:val="none"/>
          <w:lang w:val="en-US" w:eastAsia="zh-CN"/>
        </w:rPr>
        <w:t xml:space="preserve">。主要原因是：一是压减非刚性支出，优化调整部分公务活动，故决算数相比预算数减少较大。二是由于该部门为机构改革新组建部门，故决算数相比2024年增加较大。</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2025年政府采购支出总额9,986.30元，其中：政府采购货物支出9,986.30元、政府采购工程支出0.00元、政府采购服务支出0.00元。授予中小企业合同金额0.00元，占政府采购支出总额的0.00%，其中：授予小微企业合同金额0.00元，占政府采购支出总额的0.00%；货物采购授予中小企业合同金额占货物支出金额的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天津经济技术开发区现代服务业促进局2025年度无国有资产占有使用情况。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根据预算绩效管理要求，天津经济技术开发区现代服务业促进局已对1个2025年度区级项目开展绩效自评，涉及金额800,000.00元。自评结果已随部门决算一并公开。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天津经济技术开发区现代服务业促进局不属于乡、镇、街级单位，不涉及公开2025年度教育、医疗卫生、社会保障和就业、住房保障、涉农补贴等民生支出情况。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DA18CF38-4626-4E88-821F-EB8F4B7F433F}"/>
    <w:embedBold r:id="rId2" w:subsetted="1" w:fontKey="{DC1F6965-77BB-4978-8AA7-2AED42EA29FF}"/>
  </w:font>
  <w:font w:name="Cambria">
    <w:panose1 w:val="02040503050406030204"/>
    <w:charset w:val="00"/>
    <w:family w:val="roman"/>
    <w:pitch w:val="default"/>
    <w:sig w:usb0="E00006FF" w:usb1="420024FF" w:usb2="02000000" w:usb3="00000000" w:csb0="2000019F" w:csb1="00000000"/>
    <w:embedRegular r:id="rId3" w:fontKey="{0FFE0863-BCFF-4DED-BB03-A4B150A077D6}"/>
  </w:font>
  <w:font w:name="Calibri">
    <w:panose1 w:val="020F0502020204030204"/>
    <w:charset w:val="00"/>
    <w:family w:val="swiss"/>
    <w:pitch w:val="default"/>
    <w:sig w:usb0="E4002EFF" w:usb1="C200247B" w:usb2="00000009" w:usb3="00000000" w:csb0="200001FF" w:csb1="00000000"/>
    <w:embedRegular r:id="rId4" w:fontKey="{AE0FC028-A8F3-43D8-A7FA-AF2C62E8D516}"/>
  </w:font>
  <w:font w:name="黑体">
    <w:panose1 w:val="02010609060101010101"/>
    <w:charset w:val="FFFFFF86"/>
    <w:family w:val="auto"/>
    <w:pitch w:val="default"/>
    <w:sig w:usb0="800002BF" w:usb1="38CF7CFA" w:usb2="00000016" w:usb3="00000000" w:csb0="00040001" w:csb1="00000000"/>
    <w:embedRegular r:id="rId5" w:subsetted="1" w:fontKey="{E6455D5E-1DA0-45A1-A8E9-AB481C986586}"/>
    <w:embedBold r:id="rId6" w:subsetted="1" w:fontKey="{A7D2A50B-5592-4BB4-8A0C-6171591BE08D}"/>
  </w:font>
  <w:font w:name="方正小标宋简体">
    <w:altName w:val="黑体"/>
    <w:panose1 w:val="02000000000000000000"/>
    <w:charset w:val="FFFFFF86"/>
    <w:family w:val="auto"/>
    <w:pitch w:val="default"/>
    <w:sig w:usb0="00000001" w:usb1="08000000" w:usb2="00000000" w:usb3="00000000" w:csb0="00040000" w:csb1="00000000"/>
    <w:embedRegular r:id="rId7" w:fontKey="{0E64C1BB-782E-4CEB-9DB4-413939DB6003}"/>
    <w:embedBold r:id="rId8" w:fontKey="{0344AB8D-E5CD-4E14-8628-EE65530C00CC}"/>
  </w:font>
  <w:font w:name="仿宋">
    <w:panose1 w:val="02010609060101010101"/>
    <w:charset w:val="FFFFFF86"/>
    <w:family w:val="auto"/>
    <w:pitch w:val="default"/>
    <w:sig w:usb0="800002BF" w:usb1="38CF7CFA" w:usb2="00000016" w:usb3="00000000" w:csb0="00040001" w:csb1="00000000"/>
    <w:embedRegular r:id="rId9" w:subsetted="1" w:fontKey="{12A96C2E-7E8F-4998-ABFF-D96247D17A5D}"/>
  </w:font>
  <w:font w:name="方正仿宋_GB2312">
    <w:altName w:val="仿宋"/>
    <w:panose1 w:val="02000000000000000000"/>
    <w:charset w:val="FFFFFF86"/>
    <w:family w:val="auto"/>
    <w:pitch w:val="default"/>
    <w:sig w:usb0="A00002BF" w:usb1="184F6CFA" w:usb2="00000012" w:usb3="00000000" w:csb0="00040001" w:csb1="00000000"/>
    <w:embedRegular r:id="rId10" w:fontKey="{E70DF3DC-CB60-4CF2-A1E9-AE478F6D4B10}"/>
  </w:font>
  <w:font w:name="仿宋_GB2312">
    <w:altName w:val="仿宋"/>
    <w:panose1 w:val="02010609030101010101"/>
    <w:charset w:val="FFFFFF86"/>
    <w:family w:val="auto"/>
    <w:pitch w:val="default"/>
    <w:sig w:usb0="00000001" w:usb1="080E0000" w:usb2="00000000" w:usb3="00000000" w:csb0="00040000" w:csb1="00000000"/>
    <w:embedRegular r:id="rId11" w:fontKey="{5206E04A-60BE-41E7-B625-7571A47ACDED}"/>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55DA0F82-10BD-40E9-8BA9-979BEC33B96F}"/>
    <w:embedBold r:id="rId13" w:subsetted="1" w:fontKey="{7BB7E6E9-0DBD-486E-9989-830A01471C0F}"/>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