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天津经济技术开发区科技创新局</w:t>
      </w:r>
    </w:p>
    <w:p>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年度部门决算</w:t>
      </w: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600" w:lineRule="exact"/>
        <w:jc w:val="center"/>
        <w:rPr>
          <w:rFonts w:hint="eastAsia" w:ascii="黑体" w:eastAsia="黑体"/>
          <w:sz w:val="44"/>
          <w:szCs w:val="4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spacing w:line="600" w:lineRule="exact"/>
        <w:jc w:val="center"/>
        <w:rPr>
          <w:rFonts w:hint="eastAsia" w:ascii="黑体" w:eastAsia="黑体"/>
          <w:sz w:val="44"/>
          <w:szCs w:val="44"/>
          <w:highlight w:val="none"/>
        </w:rPr>
      </w:pPr>
    </w:p>
    <w:p>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pPr>
        <w:spacing w:line="600" w:lineRule="exact"/>
        <w:rPr>
          <w:rFonts w:hint="eastAsia" w:ascii="黑体" w:eastAsia="黑体"/>
          <w:sz w:val="30"/>
          <w:szCs w:val="30"/>
          <w:highlight w:val="none"/>
        </w:rPr>
      </w:pPr>
    </w:p>
    <w:p>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TOC \o "1-3" \h \z \u</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第一部分  概 况</w:t>
      </w:r>
      <w:r>
        <w:rPr>
          <w:rFonts w:hint="eastAsia" w:ascii="仿宋" w:hAnsi="仿宋" w:eastAsia="仿宋" w:cs="仿宋"/>
          <w:sz w:val="30"/>
          <w:szCs w:val="30"/>
          <w:highlight w:val="none"/>
          <w:lang w:val="en-US" w:eastAsia="zh-CN"/>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_Toc31751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240" w:leftChars="100" w:firstLine="0" w:firstLineChars="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一、主要职责</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_Toc957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二、机构设置</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_Toc9641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第二部分  2025年度部门决算表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_Toc22959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_Toc24940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二、《收入决算表（按功能分类列示）》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_Toc19253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三、《收入决算表（按单位列示）》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_Toc1420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四、《支出决算表》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_Toc16222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五、《财政拨款收入支出决算总表》</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_Toc10133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12</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六、《一般公共预算财政拨款支出决算表》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七、《一般公共预算财政拨款基本支出决算表》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_Toc8838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八、《政府性基金预算财政拨款收入支出决算表》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_Toc2699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九、《国有资本经营预算财政拨款收入支出决算表》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_Toc11009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十、《财政拨款“三公”经费支出决算表》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_Toc25214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十一、《项目支出决算表》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_Toc18972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第三部分  2025年度部门决算情况说明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_Toc7922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_Toc7052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_Toc6621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_Toc21049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四、财政拨款收支决算总体情况说明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_Toc8231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五、一般公共预算财政拨款支出决算情况说明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六、一般公共预算财政拨款基本支出决算情况说明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_Toc17234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七、政府性基金预算财政拨款收支决算情况说明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_Toc11228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八、国有资本经营预算财政拨款收支决算情况说明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九、财政拨款“三公”经费支出决算情况说明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_Toc22288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十、机关运行经费支出情况说明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_Toc30303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bookmarkStart w:id="31" w:name="_GoBack"/>
      <w:bookmarkEnd w:id="31"/>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十一、政府采购支出情况说明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_Toc3597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十二、国有资产占有使用情况说明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_Toc32039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十三、预算绩效情况说明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十四、教育、医疗卫生、社会保障和就业、住房保障、涉农补贴等民生支出情况说明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_Toc10864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第四部分  名词解释</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_Toc19733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rPr>
          <w:rFonts w:ascii="Times New Roman" w:hAnsi="Times New Roman" w:eastAsia="方正仿宋_GB2312"/>
          <w:sz w:val="32"/>
          <w:szCs w:val="32"/>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方正小标宋简体" w:hAnsi="方正小标宋简体" w:eastAsia="方正小标宋简体" w:cs="方正小标宋简体"/>
          <w:sz w:val="30"/>
          <w:szCs w:val="30"/>
          <w:highlight w:val="none"/>
          <w:lang w:val="en-US" w:eastAsia="zh-CN"/>
        </w:rPr>
        <w:fldChar w:fldCharType="end"/>
      </w:r>
    </w:p>
    <w:p>
      <w:pPr>
        <w:rPr>
          <w:rFonts w:hint="eastAsia"/>
          <w:highlight w:val="none"/>
        </w:rPr>
      </w:pPr>
    </w:p>
    <w:p>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p>
    <w:p>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0" w:name="_Toc31751"/>
      <w:r>
        <w:rPr>
          <w:rFonts w:hint="eastAsia" w:ascii="方正小标宋简体" w:hAnsi="方正小标宋简体" w:eastAsia="方正小标宋简体" w:cs="方正小标宋简体"/>
          <w:b w:val="0"/>
          <w:lang w:val="en-US" w:eastAsia="zh-CN"/>
        </w:rPr>
        <w:t>第一部分  概 况</w:t>
      </w:r>
      <w:bookmarkEnd w:id="0"/>
    </w:p>
    <w:p>
      <w:pPr>
        <w:spacing w:line="600" w:lineRule="exact"/>
        <w:rPr>
          <w:rFonts w:hint="eastAsia"/>
          <w:highlight w:val="none"/>
        </w:rPr>
      </w:pPr>
    </w:p>
    <w:p>
      <w:pPr>
        <w:pStyle w:val="6"/>
        <w:wordWrap w:val="0"/>
        <w:spacing w:before="0" w:after="0" w:line="800" w:lineRule="exact"/>
        <w:ind w:firstLine="602" w:firstLineChars="200"/>
        <w:rPr>
          <w:rFonts w:hint="eastAsia" w:ascii="黑体" w:hAnsi="黑体" w:eastAsia="黑体"/>
          <w:b w:val="0"/>
          <w:bCs w:val="0"/>
          <w:sz w:val="30"/>
          <w:szCs w:val="30"/>
          <w:highlight w:val="none"/>
        </w:rPr>
      </w:pPr>
      <w:bookmarkStart w:id="1" w:name="_Toc957"/>
      <w:r>
        <w:rPr>
          <w:rFonts w:hint="eastAsia" w:ascii="黑体" w:hAnsi="黑体" w:eastAsia="黑体"/>
          <w:sz w:val="30"/>
          <w:szCs w:val="30"/>
          <w:lang w:val="en-US" w:eastAsia="zh-CN"/>
        </w:rPr>
        <w:t>一、主要职责</w:t>
      </w:r>
      <w:bookmarkEnd w:id="1"/>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科技创新局的主要职责是：（一）贯彻执行国家、天津市、滨海新区有关科技创新、招商引资、经济技术协作的方针、政策，负责科技型企业的招商引资工作，研究制定本单位业务范围内的产业发展规划及招商引资的具体政策和配套措施。（二）负责落实党委、管委会招商引资整体工作部署，制定招商引资工作计划，分解和落实目标任务。（三）负责开发和吸引符合我区产业发展的高质量项目，完成党委、管委会下达的各项招商指标。（四）负责开拓并维护政府、企业、中介等各项招商渠道，与国内外咨询机构建立业务联系。（五）负责科技创新产业促进工作，开展对外科技创新合作与交流，组织实施政府间及有关国际组织间的科技创新合作项目，推动京津冀科技创新协同发展，组织推动科技领域招商引资工作和科技创新产业发展促进工作。 （六）负责经开区科技创新和科技服务体系建设。拟订科技创新发展战略、规划并协调实施，制定科技创新驱动有关政策措施。推进科技创新平台建设，负责科研机构，企业技术中心、工程技术研究中心、技术创新中心、企业重点实验室，工业设计中心和产业技术研究院等申报考核建设和管理，承担产业创新联盟建设与管理工作，推进科技军民融合发展相关工作，承担科技创新券相关工作。（七）负责推动科技企业发展。承担科技型中小企业，雏鹰企业、瞪羚企业、科技领军（含培育）企业、技术领先型企业等资质的认定推荐和管理组织工作。负责高新技术企业培育、认定、管理、服务和相关统计工作。负责拟订科技企业发展支持政策。推进落实企业研发费用税前加计扣除，负责企业研发费用补贴项目管理工作。（八）负责科技成果转化。承担技术转移体系建设、科技成果转移转化和产学研结合促进工作。负责组织实施科技重大专项工作，负责组织开展各类科技计划项目的引进、申报、管理工作，并承担科技计划项目配套资金转移支付工作。组织推荐上级科学技术奖励项目。推动科技服务业、技术市场、天津市科技型中小企业新产品的认定、技术转移机构等发展。负责科技成果登记、技术合同登记认定、国内科技会展等工作。负责科技政策兑现及管理工作。配合有关部门，承担科技扶贫工作。（九）负责落实外国人来华工作许可制度，为区域内工作的外国人办理《外国人来华工作许可》相关工作手续。负责推荐外国专家申报各级各类支持政策及荣誉，组织各类活动，助推外国专家和海外高层次人才本地化成长。负责留学人员创业园（开发区分园）的年度考评以及留学生企业统计等工作。负责高科技人才引进工作。会同有关部门拟订科技人才队伍建设的政策措施，实施科技人才专项，推动高端科技创新人才队伍建设，开展科技创新人才项目的管理工作。（十）承担经开区科学技术协会职能，弘扬科学精神，普及科学知识，承担科普教育基地认定项目管理工作，推动科普工作发展。（十一）会同有关部门拟订科技与金融相结合的政策措施。承担科技金融、科技投融资、科技企业股改上市和重组并购、科技金融服务体系等建设工作。（十二）负责本领域安全生产管理，从行业规划、产业政策、法规标准等方面加强本领域安全生产工作，指导督促企业加强安全管理。（十三）贯彻落实本部门全面从严治党主体责任，严格落实基层党建工作任务，发挥党组织战斗堡垒作用和党员先锋模范作用。（十四）完成党委、管委会交办的其他各项工作。</w:t>
      </w:r>
    </w:p>
    <w:p>
      <w:pPr>
        <w:pStyle w:val="6"/>
        <w:spacing w:before="0" w:after="0" w:line="600" w:lineRule="exact"/>
        <w:ind w:firstLine="602" w:firstLineChars="200"/>
        <w:rPr>
          <w:rFonts w:hint="eastAsia" w:ascii="黑体" w:hAnsi="黑体" w:eastAsia="黑体"/>
          <w:b w:val="0"/>
          <w:bCs w:val="0"/>
          <w:sz w:val="30"/>
          <w:szCs w:val="30"/>
          <w:highlight w:val="none"/>
        </w:rPr>
      </w:pPr>
      <w:bookmarkStart w:id="2" w:name="_Toc9641"/>
      <w:r>
        <w:rPr>
          <w:rFonts w:hint="eastAsia" w:ascii="黑体" w:hAnsi="黑体" w:eastAsia="黑体"/>
          <w:sz w:val="30"/>
          <w:szCs w:val="30"/>
          <w:lang w:val="en-US" w:eastAsia="zh-CN"/>
        </w:rPr>
        <w:t>二、机构设置</w:t>
      </w:r>
      <w:bookmarkEnd w:id="2"/>
    </w:p>
    <w:p>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纳入天津经济技术开发区科技创新局2025年度部门决算编制范围的单位包括，部门本级（内设7个职能科室）。</w:t>
      </w:r>
    </w:p>
    <w:p>
      <w:pPr>
        <w:spacing w:line="600" w:lineRule="exact"/>
        <w:rPr>
          <w:rFonts w:hint="eastAsia" w:eastAsia="方正楷体_GB2312"/>
          <w:b/>
          <w:sz w:val="30"/>
          <w:szCs w:val="30"/>
          <w:highlight w:val="none"/>
        </w:rPr>
      </w:pPr>
      <w:r>
        <w:rPr>
          <w:rFonts w:eastAsia="方正楷体_GB2312"/>
          <w:b/>
          <w:sz w:val="30"/>
          <w:szCs w:val="30"/>
          <w:highlight w:val="none"/>
        </w:rPr>
        <w:br w:type="page"/>
      </w: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bookmarkStart w:id="3" w:name="_Toc22959"/>
      <w:r>
        <w:rPr>
          <w:rFonts w:hint="eastAsia" w:ascii="方正小标宋简体" w:hAnsi="方正小标宋简体" w:eastAsia="方正小标宋简体" w:cs="方正小标宋简体"/>
          <w:b w:val="0"/>
          <w:bCs w:val="0"/>
          <w:lang w:val="en-US" w:eastAsia="zh-CN"/>
        </w:rPr>
        <w:t>第二部分  2025年度部门决算表</w:t>
      </w:r>
      <w:bookmarkEnd w:id="3"/>
    </w:p>
    <w:p>
      <w:pPr>
        <w:pStyle w:val="5"/>
        <w:wordWrap w:val="0"/>
        <w:spacing w:before="0" w:after="0" w:line="600" w:lineRule="exact"/>
        <w:jc w:val="left"/>
        <w:rPr>
          <w:rFonts w:hint="eastAsia" w:ascii="黑体" w:hAnsi="黑体" w:eastAsia="黑体"/>
          <w:sz w:val="30"/>
          <w:szCs w:val="30"/>
          <w:lang w:val="en-US" w:eastAsia="zh-CN"/>
        </w:rPr>
      </w:pPr>
      <w:r>
        <w:rPr>
          <w:rFonts w:hint="eastAsia" w:ascii="方正小标宋简体" w:hAnsi="方正小标宋简体" w:eastAsia="方正小标宋简体" w:cs="方正小标宋简体"/>
          <w:b w:val="0"/>
          <w:bCs w:val="0"/>
          <w:lang w:val="en-US" w:eastAsia="zh-CN"/>
        </w:rPr>
        <w:br w:type="page"/>
      </w:r>
      <w:bookmarkStart w:id="4" w:name="_Toc24940"/>
      <w:r>
        <w:rPr>
          <w:rFonts w:hint="eastAsia" w:ascii="黑体" w:hAnsi="黑体" w:eastAsia="黑体"/>
          <w:sz w:val="30"/>
          <w:szCs w:val="30"/>
          <w:lang w:val="en-US" w:eastAsia="zh-CN"/>
        </w:rPr>
        <w:t>一、《收入支出决算总表》</w:t>
      </w:r>
      <w:bookmarkEnd w:id="4"/>
    </w:p>
    <w:tbl>
      <w:tblPr>
        <w:tblStyle w:val="8"/>
        <w:tblW w:w="97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nil"/>
              <w:left w:val="nil"/>
              <w:bottom w:val="single" w:color="000000" w:sz="4" w:space="0"/>
              <w:right w:val="nil"/>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：天津经济技术开发区科技创新局</w:t>
            </w:r>
          </w:p>
        </w:tc>
        <w:tc>
          <w:tcPr>
            <w:tcW w:w="1701" w:type="dxa"/>
            <w:gridSpan w:val="2"/>
            <w:tcBorders>
              <w:top w:val="nil"/>
              <w:left w:val="nil"/>
              <w:bottom w:val="single" w:color="000000" w:sz="4" w:space="0"/>
              <w:right w:val="nil"/>
            </w:tcBorders>
            <w:shd w:val="clear" w:color="000000" w:fill="FFFFFF"/>
            <w:noWrap/>
            <w:vAlign w:val="center"/>
          </w:tcPr>
          <w:p>
            <w:pPr>
              <w:spacing w:line="240" w:lineRule="auto"/>
              <w:ind w:left="0" w:leftChars="0" w:right="0" w:rightChars="0" w:firstLine="0" w:firstLineChars="0"/>
              <w:jc w:val="righ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single" w:color="000000" w:sz="4" w:space="0"/>
              <w:left w:val="single" w:color="000000" w:sz="4" w:space="0"/>
              <w:bottom w:val="single" w:color="000000" w:sz="4" w:space="0"/>
              <w:right w:val="nil"/>
            </w:tcBorders>
            <w:shd w:val="clear" w:color="000000" w:fill="FFFFFF"/>
            <w:noWrap/>
            <w:vAlign w:val="center"/>
          </w:tcPr>
          <w:p>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701" w:type="dxa"/>
            <w:gridSpan w:val="2"/>
            <w:tcBorders>
              <w:top w:val="single" w:color="000000" w:sz="4" w:space="0"/>
              <w:left w:val="nil"/>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一、一般公共预算财政拨款收入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tabs>
                <w:tab w:val="left" w:pos="1920"/>
              </w:tabs>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152048179.94</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1129975.00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二、政府性基金预算财政拨款收入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三、国有资本经营预算财政拨款收入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四、财政专户管理资金</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131705104.94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五、事业收入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六、事业单位经营收入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3437500.00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七、上级补助收入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八、附属单位上缴收入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九、其他收入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1000000.00</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16775600.00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本年收入合计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153048179.94</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153048179.94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90"/>
                <w:kern w:val="0"/>
                <w:sz w:val="20"/>
                <w:szCs w:val="20"/>
                <w:u w:val="none"/>
                <w:lang w:val="en-US" w:eastAsia="zh-CN"/>
              </w:rPr>
              <w:t>十、使用非财政拨款结余</w:t>
            </w:r>
            <w:r>
              <w:rPr>
                <w:rFonts w:hint="eastAsia" w:ascii="宋体" w:hAnsi="宋体" w:cs="宋体"/>
                <w:i w:val="0"/>
                <w:iCs w:val="0"/>
                <w:color w:val="000000"/>
                <w:w w:val="90"/>
                <w:kern w:val="0"/>
                <w:sz w:val="20"/>
                <w:szCs w:val="20"/>
                <w:u w:val="none"/>
                <w:lang w:val="en-US" w:eastAsia="zh-CN"/>
              </w:rPr>
              <w:t>（含专用结余）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二十四、结余分配</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十一、年初结转和结余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二十五、年末结转和结余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其中：财政拨款结转和结余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153048179.94</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153048179.94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701" w:type="dxa"/>
            <w:gridSpan w:val="4"/>
            <w:tcBorders>
              <w:top w:val="nil"/>
              <w:left w:val="nil"/>
              <w:bottom w:val="nil"/>
              <w:right w:val="nil"/>
            </w:tcBorders>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注：本表反映本年度的总收支和年末结转结余情况。财政专户管理资金是指教育收费；事业收入不含教育收费。</w:t>
            </w:r>
          </w:p>
        </w:tc>
      </w:tr>
    </w:tbl>
    <w:p>
      <w:pPr>
        <w:ind w:left="-480" w:leftChars="-200" w:firstLine="0" w:firstLineChars="0"/>
        <w:rPr>
          <w:rFonts w:hint="eastAsia"/>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pStyle w:val="6"/>
        <w:wordWrap w:val="0"/>
        <w:spacing w:before="0" w:after="0" w:line="800" w:lineRule="exact"/>
        <w:ind w:firstLine="602" w:firstLineChars="200"/>
        <w:rPr>
          <w:rFonts w:hint="eastAsia" w:ascii="黑体" w:hAnsi="黑体" w:eastAsia="黑体"/>
          <w:sz w:val="30"/>
          <w:szCs w:val="30"/>
          <w:lang w:val="en-US" w:eastAsia="zh-CN"/>
        </w:rPr>
      </w:pPr>
      <w:bookmarkStart w:id="5" w:name="_Toc19253"/>
      <w:r>
        <w:rPr>
          <w:rFonts w:hint="eastAsia" w:ascii="黑体" w:hAnsi="黑体" w:eastAsia="黑体"/>
          <w:sz w:val="30"/>
          <w:szCs w:val="30"/>
          <w:lang w:val="en-US" w:eastAsia="zh-CN"/>
        </w:rPr>
        <w:t>二、《收入决算表（按功能分类列示）》</w:t>
      </w:r>
      <w:bookmarkEnd w:id="5"/>
    </w:p>
    <w:tbl>
      <w:tblPr>
        <w:tblStyle w:val="8"/>
        <w:tblW w:w="162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2184"/>
        <w:gridCol w:w="1824"/>
        <w:gridCol w:w="1737"/>
        <w:gridCol w:w="1503"/>
        <w:gridCol w:w="1680"/>
        <w:gridCol w:w="1656"/>
        <w:gridCol w:w="1572"/>
        <w:gridCol w:w="1524"/>
        <w:gridCol w:w="1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951" w:type="dxa"/>
            <w:gridSpan w:val="6"/>
            <w:tcBorders>
              <w:top w:val="nil"/>
              <w:left w:val="nil"/>
              <w:bottom w:val="single" w:color="auto" w:sz="4" w:space="0"/>
              <w:right w:val="nil"/>
            </w:tcBorders>
            <w:shd w:val="clear" w:color="auto" w:fill="FFFFFF"/>
            <w:noWrap/>
            <w:vAlign w:val="center"/>
          </w:tcPr>
          <w:p>
            <w:pPr>
              <w:snapToGrid w:val="0"/>
              <w:jc w:val="left"/>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天津经济技术开发区科技创新局</w:t>
            </w:r>
          </w:p>
        </w:tc>
        <w:tc>
          <w:tcPr>
            <w:tcW w:w="1656" w:type="dxa"/>
            <w:tcBorders>
              <w:top w:val="nil"/>
              <w:left w:val="nil"/>
              <w:bottom w:val="single" w:color="auto" w:sz="4" w:space="0"/>
              <w:right w:val="nil"/>
            </w:tcBorders>
            <w:shd w:val="clear" w:color="auto" w:fill="FFFFFF"/>
            <w:noWrap/>
            <w:vAlign w:val="center"/>
          </w:tcPr>
          <w:p>
            <w:pPr>
              <w:snapToGrid w:val="0"/>
              <w:jc w:val="right"/>
              <w:rPr>
                <w:rFonts w:hint="eastAsia" w:ascii="宋体" w:hAnsi="宋体" w:eastAsia="宋体" w:cs="宋体"/>
                <w:i w:val="0"/>
                <w:iCs w:val="0"/>
                <w:color w:val="000000"/>
                <w:sz w:val="24"/>
                <w:szCs w:val="24"/>
                <w:u w:val="none"/>
              </w:rPr>
            </w:pPr>
          </w:p>
        </w:tc>
        <w:tc>
          <w:tcPr>
            <w:tcW w:w="1572" w:type="dxa"/>
            <w:tcBorders>
              <w:top w:val="nil"/>
              <w:left w:val="nil"/>
              <w:bottom w:val="single" w:color="auto" w:sz="4" w:space="0"/>
              <w:right w:val="nil"/>
            </w:tcBorders>
            <w:shd w:val="clear" w:color="auto" w:fill="FFFFFF"/>
            <w:noWrap/>
            <w:vAlign w:val="center"/>
          </w:tcPr>
          <w:p>
            <w:pPr>
              <w:snapToGrid w:val="0"/>
              <w:jc w:val="right"/>
              <w:rPr>
                <w:rFonts w:hint="eastAsia" w:ascii="宋体" w:hAnsi="宋体" w:eastAsia="宋体" w:cs="宋体"/>
                <w:i w:val="0"/>
                <w:iCs w:val="0"/>
                <w:color w:val="000000"/>
                <w:sz w:val="24"/>
                <w:szCs w:val="24"/>
                <w:u w:val="none"/>
              </w:rPr>
            </w:pPr>
          </w:p>
        </w:tc>
        <w:tc>
          <w:tcPr>
            <w:tcW w:w="3111" w:type="dxa"/>
            <w:gridSpan w:val="2"/>
            <w:tcBorders>
              <w:top w:val="nil"/>
              <w:left w:val="nil"/>
              <w:bottom w:val="single" w:color="auto" w:sz="4" w:space="0"/>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exact"/>
          <w:tblHeader/>
          <w:jc w:val="center"/>
        </w:trPr>
        <w:tc>
          <w:tcPr>
            <w:tcW w:w="3207"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8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本年收入合计</w:t>
            </w:r>
          </w:p>
        </w:tc>
        <w:tc>
          <w:tcPr>
            <w:tcW w:w="173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财政拨款收入</w:t>
            </w:r>
          </w:p>
        </w:tc>
        <w:tc>
          <w:tcPr>
            <w:tcW w:w="150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上级补助收入</w:t>
            </w:r>
          </w:p>
        </w:tc>
        <w:tc>
          <w:tcPr>
            <w:tcW w:w="3336"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事业收入</w:t>
            </w:r>
          </w:p>
        </w:tc>
        <w:tc>
          <w:tcPr>
            <w:tcW w:w="15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经营收入</w:t>
            </w:r>
          </w:p>
        </w:tc>
        <w:tc>
          <w:tcPr>
            <w:tcW w:w="15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附属单位上缴收入</w:t>
            </w:r>
          </w:p>
        </w:tc>
        <w:tc>
          <w:tcPr>
            <w:tcW w:w="1587" w:type="dxa"/>
            <w:vMerge w:val="restart"/>
            <w:tcBorders>
              <w:top w:val="single" w:color="auto" w:sz="4" w:space="0"/>
              <w:left w:val="single" w:color="000000" w:sz="4" w:space="0"/>
              <w:bottom w:val="single" w:color="000000" w:sz="4" w:space="0"/>
              <w:right w:val="single" w:color="auto"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restar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其中：教育收费</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exact"/>
          <w:tblHeader/>
          <w:jc w:val="center"/>
        </w:trPr>
        <w:tc>
          <w:tcPr>
            <w:tcW w:w="1023"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153048179.94</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152048179.94</w:t>
            </w: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一般公共服务支出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1129975.00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1129975.00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政府办公厅（室）及相关机构事务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304500.00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304500.00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2010302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304500.00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304500.00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20113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商贸事务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825475.00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825475.00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2011302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187408.00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187408.00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2011308</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招商引资</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638067.00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638067.00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科学技术支出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131705104.94</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130705104.94</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科学技术管理事务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12053624.09</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12053624.09</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2060101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行政运行</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11175840.09</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11175840.09</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2060102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877784.00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877784.00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20604</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技术研究与开发</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118651480.85</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118651480.85</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2060499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其他技术研究与开发支出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118651480.85</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118651480.85</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其他科学技术支出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1000000.00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2069901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科技奖励</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1000000.00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社会保障和就业支出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3437500.00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3437500.00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人力资源和社会保障管理事务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3437500.00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3437500.00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2080116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引进人才费用</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3437500.00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3437500.00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资源勘探工业信息等支出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16775600.00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16775600.00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制造业</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14000000.00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14000000.00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2150299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其他制造业支出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14000000.00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14000000.00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21508</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支持中小企业发展和管理支出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2775600.00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2775600.00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2150805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中小企业发展专项</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2775600.00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2775600.00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6290" w:type="dxa"/>
            <w:gridSpan w:val="10"/>
            <w:tcBorders>
              <w:top w:val="single" w:color="auto" w:sz="4" w:space="0"/>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注：本表反映本年度取得的各项收入情况。</w:t>
            </w:r>
          </w:p>
        </w:tc>
      </w:tr>
    </w:tbl>
    <w:p>
      <w:pPr>
        <w:pStyle w:val="6"/>
        <w:wordWrap w:val="0"/>
        <w:spacing w:before="0" w:after="0" w:line="800" w:lineRule="exact"/>
        <w:ind w:firstLine="421"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6" w:name="_Toc1420"/>
      <w:r>
        <w:rPr>
          <w:rFonts w:hint="eastAsia" w:ascii="黑体" w:hAnsi="黑体" w:eastAsia="黑体"/>
          <w:b/>
          <w:bCs/>
          <w:sz w:val="30"/>
          <w:szCs w:val="30"/>
          <w:lang w:val="en-US" w:eastAsia="zh-CN"/>
        </w:rPr>
        <w:t>三、《收入决算表（按单位列示）》</w:t>
      </w:r>
      <w:bookmarkEnd w:id="6"/>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3"/>
        <w:gridCol w:w="1405"/>
        <w:gridCol w:w="1344"/>
        <w:gridCol w:w="1153"/>
        <w:gridCol w:w="1285"/>
        <w:gridCol w:w="1285"/>
        <w:gridCol w:w="1285"/>
        <w:gridCol w:w="1285"/>
        <w:gridCol w:w="1285"/>
        <w:gridCol w:w="1285"/>
        <w:gridCol w:w="1285"/>
        <w:gridCol w:w="1329"/>
        <w:gridCol w:w="13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775" w:type="dxa"/>
            <w:gridSpan w:val="8"/>
            <w:tcBorders>
              <w:top w:val="nil"/>
              <w:left w:val="nil"/>
              <w:bottom w:val="single" w:color="000000" w:sz="4" w:space="0"/>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：天津经济技术开发区科技创新局</w:t>
            </w:r>
          </w:p>
        </w:tc>
        <w:tc>
          <w:tcPr>
            <w:tcW w:w="1285" w:type="dxa"/>
            <w:tcBorders>
              <w:top w:val="nil"/>
              <w:left w:val="nil"/>
              <w:bottom w:val="single" w:color="000000" w:sz="4" w:space="0"/>
              <w:right w:val="nil"/>
            </w:tcBorders>
            <w:noWrap/>
            <w:vAlign w:val="center"/>
          </w:tcPr>
          <w:p>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pPr>
              <w:jc w:val="center"/>
              <w:rPr>
                <w:rFonts w:hint="eastAsia" w:ascii="宋体" w:hAnsi="宋体" w:eastAsia="宋体" w:cs="宋体"/>
                <w:i w:val="0"/>
                <w:iCs w:val="0"/>
                <w:color w:val="000000"/>
                <w:sz w:val="16"/>
                <w:szCs w:val="16"/>
                <w:u w:val="none"/>
              </w:rPr>
            </w:pPr>
          </w:p>
        </w:tc>
        <w:tc>
          <w:tcPr>
            <w:tcW w:w="2658" w:type="dxa"/>
            <w:gridSpan w:val="2"/>
            <w:tcBorders>
              <w:top w:val="nil"/>
              <w:left w:val="nil"/>
              <w:bottom w:val="single" w:color="000000" w:sz="4" w:space="0"/>
              <w:right w:val="nil"/>
            </w:tcBorders>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40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344"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2806" w:type="dxa"/>
            <w:gridSpan w:val="10"/>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本年收入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15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事业单位经营收入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上级补助收入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附属单位上缴收入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15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3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153048179.94</w:t>
            </w:r>
          </w:p>
        </w:tc>
        <w:tc>
          <w:tcPr>
            <w:tcW w:w="11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153048179.94</w:t>
            </w: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152048179.94</w:t>
            </w: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7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331101</w:t>
            </w:r>
          </w:p>
        </w:tc>
        <w:tc>
          <w:tcPr>
            <w:tcW w:w="14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天津经济技术开发区科技创新局</w:t>
            </w:r>
          </w:p>
        </w:tc>
        <w:tc>
          <w:tcPr>
            <w:tcW w:w="13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153048179.94</w:t>
            </w:r>
          </w:p>
        </w:tc>
        <w:tc>
          <w:tcPr>
            <w:tcW w:w="11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153048179.94</w:t>
            </w: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152048179.94</w:t>
            </w: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8" w:type="dxa"/>
            <w:gridSpan w:val="13"/>
            <w:tcBorders>
              <w:top w:val="single" w:color="000000" w:sz="4"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pPr>
        <w:pStyle w:val="6"/>
        <w:wordWrap w:val="0"/>
        <w:spacing w:before="0" w:after="0" w:line="240" w:lineRule="auto"/>
        <w:ind w:firstLine="0" w:firstLineChars="0"/>
        <w:rPr>
          <w:rFonts w:hint="eastAsia" w:ascii="黑体" w:hAnsi="黑体" w:eastAsia="黑体"/>
          <w:sz w:val="30"/>
          <w:szCs w:val="30"/>
          <w:lang w:val="en-US" w:eastAsia="zh-CN"/>
        </w:rPr>
      </w:pPr>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7"/>
        <w:gridCol w:w="1388"/>
        <w:gridCol w:w="1482"/>
        <w:gridCol w:w="1836"/>
        <w:gridCol w:w="1802"/>
        <w:gridCol w:w="1798"/>
        <w:gridCol w:w="1884"/>
        <w:gridCol w:w="1692"/>
        <w:gridCol w:w="1860"/>
        <w:gridCol w:w="18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03" w:type="dxa"/>
            <w:gridSpan w:val="6"/>
            <w:tcBorders>
              <w:top w:val="nil"/>
              <w:left w:val="nil"/>
              <w:bottom w:val="single" w:color="000000" w:sz="4" w:space="0"/>
              <w:right w:val="nil"/>
            </w:tcBorders>
            <w:noWrap/>
            <w:vAlign w:val="center"/>
          </w:tcPr>
          <w:p>
            <w:pPr>
              <w:snapToGrid w:val="0"/>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：天津经济技术开发区科技创新局</w:t>
            </w:r>
          </w:p>
        </w:tc>
        <w:tc>
          <w:tcPr>
            <w:tcW w:w="3576" w:type="dxa"/>
            <w:gridSpan w:val="2"/>
            <w:tcBorders>
              <w:top w:val="nil"/>
              <w:left w:val="nil"/>
              <w:bottom w:val="single" w:color="000000" w:sz="4" w:space="0"/>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p>
        </w:tc>
        <w:tc>
          <w:tcPr>
            <w:tcW w:w="3709" w:type="dxa"/>
            <w:gridSpan w:val="2"/>
            <w:tcBorders>
              <w:top w:val="nil"/>
              <w:left w:val="nil"/>
              <w:bottom w:val="single" w:color="000000" w:sz="4" w:space="0"/>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388"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4203" w:type="dxa"/>
            <w:gridSpan w:val="8"/>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上年结转和结余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482"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7320" w:type="dxa"/>
            <w:gridSpan w:val="4"/>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财政拨款结转结余</w:t>
            </w:r>
          </w:p>
        </w:tc>
        <w:tc>
          <w:tcPr>
            <w:tcW w:w="5401"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非财政拨款结转结余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482"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0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79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8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69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6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84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5"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48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331101</w:t>
            </w:r>
          </w:p>
        </w:tc>
        <w:tc>
          <w:tcPr>
            <w:tcW w:w="138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天津经济技术开发区科技创新局</w:t>
            </w:r>
          </w:p>
        </w:tc>
        <w:tc>
          <w:tcPr>
            <w:tcW w:w="148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10"/>
            <w:tcBorders>
              <w:top w:val="single" w:color="000000" w:sz="4" w:space="0"/>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pPr>
        <w:sectPr>
          <w:footerReference r:id="rId7"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6"/>
        <w:wordWrap w:val="0"/>
        <w:spacing w:before="0" w:after="0" w:line="800" w:lineRule="exact"/>
        <w:ind w:firstLine="602" w:firstLineChars="200"/>
        <w:rPr>
          <w:rFonts w:hint="eastAsia" w:ascii="黑体" w:hAnsi="黑体" w:eastAsia="黑体"/>
          <w:sz w:val="30"/>
          <w:szCs w:val="30"/>
          <w:lang w:val="en-US" w:eastAsia="zh-CN"/>
        </w:rPr>
      </w:pPr>
      <w:bookmarkStart w:id="7" w:name="_Toc16222"/>
      <w:r>
        <w:rPr>
          <w:rFonts w:hint="eastAsia" w:ascii="黑体" w:hAnsi="黑体" w:eastAsia="黑体"/>
          <w:sz w:val="30"/>
          <w:szCs w:val="30"/>
          <w:lang w:val="en-US" w:eastAsia="zh-CN"/>
        </w:rPr>
        <w:t>四、《支出决算表》</w:t>
      </w:r>
      <w:bookmarkEnd w:id="7"/>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3228"/>
        <w:gridCol w:w="1980"/>
        <w:gridCol w:w="1968"/>
        <w:gridCol w:w="2016"/>
        <w:gridCol w:w="2010"/>
        <w:gridCol w:w="2062"/>
        <w:gridCol w:w="20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38" w:type="dxa"/>
            <w:gridSpan w:val="4"/>
            <w:tcBorders>
              <w:top w:val="nil"/>
              <w:left w:val="nil"/>
              <w:bottom w:val="single" w:color="000000" w:sz="4" w:space="0"/>
              <w:right w:val="nil"/>
            </w:tcBorders>
            <w:shd w:val="clear" w:color="auto" w:fill="FFFFFF"/>
            <w:noWrap/>
            <w:vAlign w:val="center"/>
          </w:tcPr>
          <w:p>
            <w:pPr>
              <w:snapToGrid w:val="0"/>
              <w:jc w:val="left"/>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天津经济技术开发区科技创新局</w:t>
            </w:r>
          </w:p>
        </w:tc>
        <w:tc>
          <w:tcPr>
            <w:tcW w:w="2016" w:type="dxa"/>
            <w:tcBorders>
              <w:top w:val="nil"/>
              <w:left w:val="nil"/>
              <w:bottom w:val="single" w:color="000000" w:sz="4" w:space="0"/>
              <w:right w:val="nil"/>
            </w:tcBorders>
            <w:shd w:val="clear" w:color="auto" w:fill="FFFFFF"/>
            <w:noWrap/>
            <w:vAlign w:val="center"/>
          </w:tcPr>
          <w:p>
            <w:pPr>
              <w:snapToGrid w:val="0"/>
              <w:jc w:val="center"/>
              <w:rPr>
                <w:rFonts w:hint="eastAsia" w:ascii="宋体" w:hAnsi="宋体" w:eastAsia="宋体" w:cs="宋体"/>
                <w:i w:val="0"/>
                <w:iCs w:val="0"/>
                <w:color w:val="000000"/>
                <w:sz w:val="22"/>
                <w:szCs w:val="22"/>
                <w:u w:val="none"/>
              </w:rPr>
            </w:pPr>
          </w:p>
        </w:tc>
        <w:tc>
          <w:tcPr>
            <w:tcW w:w="2010" w:type="dxa"/>
            <w:tcBorders>
              <w:top w:val="nil"/>
              <w:left w:val="nil"/>
              <w:bottom w:val="single" w:color="000000" w:sz="4" w:space="0"/>
              <w:right w:val="nil"/>
            </w:tcBorders>
            <w:shd w:val="clear" w:color="auto" w:fill="FFFFFF"/>
            <w:noWrap/>
            <w:vAlign w:val="center"/>
          </w:tcPr>
          <w:p>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基本支出</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上缴上级支出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9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jc w:val="center"/>
        </w:trPr>
        <w:tc>
          <w:tcPr>
            <w:tcW w:w="9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153048179.94</w:t>
            </w:r>
          </w:p>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11175840.09</w:t>
            </w:r>
          </w:p>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141872339.85</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一般公共服务支出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1129975.00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1129975.00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政府办公厅（室）及相关机构事务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304500.00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304500.00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2010302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一般行政管理事务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304500.00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304500.00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20113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商贸事务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825475.00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825475.00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2011302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一般行政管理事务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187408.00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187408.00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2011308</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招商引资</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638067.00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638067.00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科学技术支出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131705104.94</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11175840.09</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120529264.85</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科学技术管理事务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12053624.09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11175840.09</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877784.00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2060101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行政运行</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11175840.09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11175840.09</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2060102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一般行政管理事务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877784.00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877784.00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20604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技术研究与开发</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118651480.85</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118651480.85</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2060499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其他技术研究与开发支出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118651480.85</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118651480.85</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其他科学技术支出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2069901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科技奖励</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社会保障和就业支出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3437500.00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3437500.00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人力资源和社会保障管理事务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3437500.00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3437500.00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2080116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引进人才费用</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3437500.00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3437500.00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资源勘探工业信息等支出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16775600.00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16775600.00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制造业</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14000000.00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14000000.00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2150299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其他制造业支出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14000000.00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14000000.00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21508</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支持中小企业发展和管理支出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2775600.00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2775600.00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2150805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中小企业发展专项</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2775600.00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2775600.00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6288" w:type="dxa"/>
            <w:gridSpan w:val="8"/>
            <w:tcBorders>
              <w:top w:val="single" w:color="000000" w:sz="4" w:space="0"/>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注：本表反映本年度各项支出情况。</w:t>
            </w:r>
          </w:p>
        </w:tc>
      </w:tr>
    </w:tbl>
    <w:p>
      <w:pPr>
        <w:pStyle w:val="6"/>
        <w:wordWrap w:val="0"/>
        <w:spacing w:before="0" w:after="0" w:line="800" w:lineRule="exact"/>
        <w:ind w:firstLine="421"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8" w:name="_Toc10133"/>
      <w:r>
        <w:rPr>
          <w:rFonts w:hint="eastAsia" w:ascii="黑体" w:hAnsi="黑体" w:eastAsia="黑体"/>
          <w:sz w:val="30"/>
          <w:szCs w:val="30"/>
          <w:lang w:val="en-US" w:eastAsia="zh-CN"/>
        </w:rPr>
        <w:t>五、《财政拨款收入支出决算总表》</w:t>
      </w:r>
      <w:bookmarkEnd w:id="8"/>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51"/>
        <w:gridCol w:w="2324"/>
        <w:gridCol w:w="2968"/>
        <w:gridCol w:w="2004"/>
        <w:gridCol w:w="1992"/>
        <w:gridCol w:w="1932"/>
        <w:gridCol w:w="20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43" w:type="dxa"/>
            <w:gridSpan w:val="3"/>
            <w:tcBorders>
              <w:top w:val="nil"/>
              <w:left w:val="nil"/>
              <w:bottom w:val="nil"/>
              <w:right w:val="nil"/>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天津经济技术开发区科技创新局</w:t>
            </w:r>
          </w:p>
        </w:tc>
        <w:tc>
          <w:tcPr>
            <w:tcW w:w="2004" w:type="dxa"/>
            <w:tcBorders>
              <w:top w:val="nil"/>
              <w:left w:val="nil"/>
              <w:bottom w:val="nil"/>
              <w:right w:val="nil"/>
            </w:tcBorders>
            <w:shd w:val="clear" w:color="auto" w:fill="FFFFFF"/>
            <w:noWrap/>
            <w:vAlign w:val="center"/>
          </w:tcPr>
          <w:p>
            <w:pPr>
              <w:snapToGrid w:val="0"/>
              <w:jc w:val="right"/>
              <w:rPr>
                <w:rFonts w:hint="eastAsia" w:ascii="宋体" w:hAnsi="宋体" w:eastAsia="宋体" w:cs="宋体"/>
                <w:i w:val="0"/>
                <w:iCs w:val="0"/>
                <w:color w:val="000000"/>
                <w:sz w:val="20"/>
                <w:szCs w:val="20"/>
                <w:u w:val="none"/>
              </w:rPr>
            </w:pPr>
          </w:p>
        </w:tc>
        <w:tc>
          <w:tcPr>
            <w:tcW w:w="1992" w:type="dxa"/>
            <w:tcBorders>
              <w:top w:val="nil"/>
              <w:left w:val="nil"/>
              <w:bottom w:val="nil"/>
              <w:right w:val="nil"/>
            </w:tcBorders>
            <w:shd w:val="clear" w:color="auto" w:fill="FFFFFF"/>
            <w:noWrap/>
            <w:vAlign w:val="center"/>
          </w:tcPr>
          <w:p>
            <w:pPr>
              <w:snapToGrid w:val="0"/>
              <w:jc w:val="right"/>
              <w:rPr>
                <w:rFonts w:hint="eastAsia" w:ascii="宋体" w:hAnsi="宋体" w:eastAsia="宋体" w:cs="宋体"/>
                <w:i w:val="0"/>
                <w:iCs w:val="0"/>
                <w:color w:val="000000"/>
                <w:sz w:val="20"/>
                <w:szCs w:val="20"/>
                <w:u w:val="none"/>
              </w:rPr>
            </w:pPr>
          </w:p>
        </w:tc>
        <w:tc>
          <w:tcPr>
            <w:tcW w:w="3949" w:type="dxa"/>
            <w:gridSpan w:val="2"/>
            <w:tcBorders>
              <w:top w:val="nil"/>
              <w:left w:val="nil"/>
              <w:bottom w:val="nil"/>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091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3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一般公共预算财政拨款</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政府性基金预算财政拨款</w:t>
            </w:r>
          </w:p>
        </w:tc>
        <w:tc>
          <w:tcPr>
            <w:tcW w:w="20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152048179.94</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1129975.00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1129975.00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130705104.94</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130705104.94</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3437500.00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3437500.00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16775600.00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16775600.00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本年收入合计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152048179.94</w:t>
            </w: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152048179.94</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152048179.94</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年初财政拨款结转和结余</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spacing w:line="240" w:lineRule="auto"/>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152048179.94</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152048179.94</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152048179.94</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single" w:color="000000" w:sz="4" w:space="0"/>
              <w:left w:val="nil"/>
              <w:bottom w:val="nil"/>
              <w:right w:val="nil"/>
            </w:tcBorders>
            <w:shd w:val="clear" w:color="auto" w:fill="FFFFFF"/>
            <w:noWrap/>
            <w:vAlign w:val="center"/>
          </w:tcPr>
          <w:p>
            <w:pPr>
              <w:keepNext w:val="0"/>
              <w:keepLines w:val="0"/>
              <w:widowControl/>
              <w:suppressLineNumbers w:val="0"/>
              <w:snapToGrid w:val="0"/>
              <w:jc w:val="left"/>
              <w:textAlignment w:val="center"/>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sz w:val="20"/>
                <w:szCs w:val="20"/>
                <w:u w:val="none"/>
              </w:rPr>
              <w:t>注：本表反映本年度一般公共预算财政拨款、政府性基金预算财政拨款和国有资本经营预算财政拨款的总收支和年末结转结余情况。</w:t>
            </w:r>
          </w:p>
        </w:tc>
      </w:tr>
    </w:tbl>
    <w:p>
      <w:pPr>
        <w:pStyle w:val="6"/>
        <w:wordWrap w:val="0"/>
        <w:spacing w:before="0" w:after="0" w:line="800" w:lineRule="exact"/>
        <w:ind w:firstLine="421"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9" w:name="_Toc32088"/>
      <w:r>
        <w:rPr>
          <w:rFonts w:hint="eastAsia" w:ascii="黑体" w:hAnsi="黑体" w:eastAsia="黑体"/>
          <w:sz w:val="30"/>
          <w:szCs w:val="30"/>
          <w:lang w:val="en-US" w:eastAsia="zh-CN"/>
        </w:rPr>
        <w:t>六、《一般公共预算财政拨款支出决算表》</w:t>
      </w:r>
      <w:bookmarkEnd w:id="9"/>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2891"/>
        <w:gridCol w:w="2446"/>
        <w:gridCol w:w="2446"/>
        <w:gridCol w:w="2446"/>
        <w:gridCol w:w="2446"/>
        <w:gridCol w:w="24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841" w:type="dxa"/>
            <w:gridSpan w:val="6"/>
            <w:tcBorders>
              <w:top w:val="nil"/>
              <w:left w:val="nil"/>
              <w:bottom w:val="nil"/>
              <w:right w:val="nil"/>
            </w:tcBorders>
            <w:shd w:val="clear" w:color="auto" w:fill="FFFFFF"/>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Style w:val="27"/>
                <w:lang w:val="en-US" w:eastAsia="zh-CN"/>
              </w:rPr>
              <w:t>天津经济技术开发区科技创新局</w:t>
            </w:r>
          </w:p>
        </w:tc>
        <w:tc>
          <w:tcPr>
            <w:tcW w:w="2447" w:type="dxa"/>
            <w:tcBorders>
              <w:top w:val="nil"/>
              <w:left w:val="nil"/>
              <w:bottom w:val="nil"/>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支出功能分类科目</w:t>
            </w:r>
          </w:p>
        </w:tc>
        <w:tc>
          <w:tcPr>
            <w:tcW w:w="2446"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7338"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基本支出</w:t>
            </w:r>
          </w:p>
        </w:tc>
        <w:tc>
          <w:tcPr>
            <w:tcW w:w="2447"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科目编码</w:t>
            </w:r>
          </w:p>
        </w:tc>
        <w:tc>
          <w:tcPr>
            <w:tcW w:w="289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科目名称</w:t>
            </w:r>
          </w:p>
        </w:tc>
        <w:tc>
          <w:tcPr>
            <w:tcW w:w="2446"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小计</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人员经费</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公用经费</w:t>
            </w:r>
          </w:p>
        </w:tc>
        <w:tc>
          <w:tcPr>
            <w:tcW w:w="2447"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152048179.94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11175840.09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10765626.18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410213.91</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140872339.85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一般公共服务支出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1129975.00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1129975.00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政府办公厅（室）及相关机构事务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304500.00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304500.00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2010302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一般行政管理事务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304500.00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304500.00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20113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商贸事务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825475.00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825475.00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2011302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一般行政管理事务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187408.00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187408.00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2011308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招商引资</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638067.00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638067.00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科学技术支出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130705104.94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11175840.09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10765626.18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410213.91</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119529264.85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20601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科学技术管理事务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12053624.09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11175840.09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10765626.18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410213.91</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877784.00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2060101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行政运行</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11175840.09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11175840.09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10765626.18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410213.91</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2060102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一般行政管理事务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877784.00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877784.00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20604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技术研究与开发</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118651480.85</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118651480.85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2060499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其他技术研究与开发支出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118651480.85</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118651480.85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社会保障和就业支出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3437500.00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3437500.00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人力资源和社会保障管理事务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3437500.00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3437500.00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2080116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引进人才费用</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3437500.00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3437500.00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资源勘探工业信息等支出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16775600.00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16775600.00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制造业</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14000000.00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2150299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其他制造业支出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14000000.00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21508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支持中小企业发展和管理支出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2775600.00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2775600.00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2150805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中小企业发展专项</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2775600.00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2775600.00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商业服务业等支出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21606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涉外发展服务支出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2160699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其他涉外发展服务支出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nil"/>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pPr>
        <w:pStyle w:val="6"/>
        <w:wordWrap w:val="0"/>
        <w:spacing w:before="0" w:after="0" w:line="800" w:lineRule="exact"/>
        <w:ind w:firstLine="421"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0" w:name="_Toc8838"/>
      <w:r>
        <w:rPr>
          <w:rFonts w:hint="eastAsia" w:ascii="黑体" w:hAnsi="黑体" w:eastAsia="黑体"/>
          <w:sz w:val="30"/>
          <w:szCs w:val="30"/>
          <w:lang w:val="en-US" w:eastAsia="zh-CN"/>
        </w:rPr>
        <w:t>七、《一般公共预算财政拨款基本支出决算表》</w:t>
      </w:r>
      <w:bookmarkEnd w:id="10"/>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3"/>
        <w:gridCol w:w="2475"/>
        <w:gridCol w:w="2231"/>
        <w:gridCol w:w="754"/>
        <w:gridCol w:w="2444"/>
        <w:gridCol w:w="2231"/>
        <w:gridCol w:w="797"/>
        <w:gridCol w:w="2401"/>
        <w:gridCol w:w="22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27" w:type="dxa"/>
            <w:gridSpan w:val="5"/>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天津经济技术开发区科技创新局</w:t>
            </w:r>
          </w:p>
        </w:tc>
        <w:tc>
          <w:tcPr>
            <w:tcW w:w="2231" w:type="dxa"/>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p>
        </w:tc>
        <w:tc>
          <w:tcPr>
            <w:tcW w:w="797" w:type="dxa"/>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p>
        </w:tc>
        <w:tc>
          <w:tcPr>
            <w:tcW w:w="4633" w:type="dxa"/>
            <w:gridSpan w:val="2"/>
            <w:tcBorders>
              <w:top w:val="nil"/>
              <w:left w:val="nil"/>
              <w:bottom w:val="nil"/>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29"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w:t>
            </w:r>
          </w:p>
        </w:tc>
        <w:tc>
          <w:tcPr>
            <w:tcW w:w="10859" w:type="dxa"/>
            <w:gridSpan w:val="6"/>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10765626.18</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302</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374423.91</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30704</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国外债务发行费用</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基本工资</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2080653.69</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30201</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65196.43</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310</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35790.00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30102</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津贴补贴</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5032199.79</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30202</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印刷费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6796.70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31001</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房屋建筑物购建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30103</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奖金</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30204</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手续费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31002</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35790.00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30106</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伙食补助费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30205</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9880.00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31003</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30107</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绩效工资</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30206</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电费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31005</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基础设施建设</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30108</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机关事业单位基本养老保险缴费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557337.60</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30207</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邮电费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31006</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大型修缮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30109</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职业年金缴费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278668.80</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30208</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取暖费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31007</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信息网络及软件购置更新</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30110</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职工基本医疗保险缴费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348336.00</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30209</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物业管理费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31008</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物资储备</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公务员医疗补助缴费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30211</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差旅费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44725.50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土地补偿</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30112</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其他社会保障缴费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24828.30</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30212</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因公出国（境）费用</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31010</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安置补助</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30113</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住房公积金</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2443602.00</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30213</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维修(护)费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5320.00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31011</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地上附着物和青苗补偿</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30114</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30214</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租赁费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31012</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拆迁补偿</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30199</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30215</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会议费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5360.00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31013</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对个人和家庭的补助</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30216</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培训费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8420.00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其他交通工具购置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离休费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30217</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公务接待费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31021</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文物和陈列品购置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30302</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退休费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30218</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专用材料费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31022</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无形资产购置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退职（役）费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30224</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被装购置费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31099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30304</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抚恤金</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30225</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专用燃料费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312</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30305</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生活补助</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30226</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劳务费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31201</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资本金注入</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30306</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救济费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30227</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委托业务费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19320.00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31203</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政府投资基金股权投资</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30307</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医疗费补助</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30228</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工会经费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31204</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费用补贴</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30308</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助学金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30229</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福利费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31205</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利息补贴</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30309</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奖励金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30231</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公务用车运行维护费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31206</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其他资本性补助</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30310</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个人农业生产补贴</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30239</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其他交通费用</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145770.00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31299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代缴社会保险费</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30240</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税金及附加费用</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399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其他支出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30399</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其他对个人和家庭的补助</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30299</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63135.28</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39907</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国家赔偿费用支出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single" w:color="000000" w:sz="4" w:space="0"/>
              <w:right w:val="single" w:color="000000" w:sz="4" w:space="0"/>
            </w:tcBorders>
            <w:noWrap/>
            <w:vAlign w:val="center"/>
          </w:tcPr>
          <w:p>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307</w:t>
            </w:r>
          </w:p>
        </w:tc>
        <w:tc>
          <w:tcPr>
            <w:tcW w:w="244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债务利息及费用支出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39908</w:t>
            </w:r>
          </w:p>
        </w:tc>
        <w:tc>
          <w:tcPr>
            <w:tcW w:w="2401"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对民间非营利组织和群众性自治组织补贴</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30701</w:t>
            </w:r>
          </w:p>
        </w:tc>
        <w:tc>
          <w:tcPr>
            <w:tcW w:w="244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国内债务付息</w:t>
            </w:r>
          </w:p>
        </w:tc>
        <w:tc>
          <w:tcPr>
            <w:tcW w:w="2231"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39909</w:t>
            </w:r>
          </w:p>
        </w:tc>
        <w:tc>
          <w:tcPr>
            <w:tcW w:w="2401"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经常性赠与</w:t>
            </w:r>
          </w:p>
        </w:tc>
        <w:tc>
          <w:tcPr>
            <w:tcW w:w="2232"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30702</w:t>
            </w:r>
          </w:p>
        </w:tc>
        <w:tc>
          <w:tcPr>
            <w:tcW w:w="244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国外债务付息</w:t>
            </w:r>
          </w:p>
        </w:tc>
        <w:tc>
          <w:tcPr>
            <w:tcW w:w="2231"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39910</w:t>
            </w:r>
          </w:p>
        </w:tc>
        <w:tc>
          <w:tcPr>
            <w:tcW w:w="2401"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资本性赠与</w:t>
            </w:r>
          </w:p>
        </w:tc>
        <w:tc>
          <w:tcPr>
            <w:tcW w:w="2232"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30703</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国内债务发行费用</w:t>
            </w:r>
          </w:p>
        </w:tc>
        <w:tc>
          <w:tcPr>
            <w:tcW w:w="2231"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39999</w:t>
            </w:r>
          </w:p>
        </w:tc>
        <w:tc>
          <w:tcPr>
            <w:tcW w:w="2401"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其他支出</w:t>
            </w:r>
          </w:p>
        </w:tc>
        <w:tc>
          <w:tcPr>
            <w:tcW w:w="2232"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198"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人员经费合计</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10765626.18</w:t>
            </w:r>
          </w:p>
        </w:tc>
        <w:tc>
          <w:tcPr>
            <w:tcW w:w="8627"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公用经费合计</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410213.91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9"/>
            <w:tcBorders>
              <w:top w:val="single" w:color="000000" w:sz="4" w:space="0"/>
              <w:left w:val="nil"/>
              <w:bottom w:val="nil"/>
              <w:right w:val="nil"/>
            </w:tcBorders>
            <w:noWrap/>
            <w:vAlign w:val="center"/>
          </w:tcPr>
          <w:p>
            <w:pPr>
              <w:pStyle w:val="24"/>
              <w:keepNext w:val="0"/>
              <w:keepLines w:val="0"/>
              <w:widowControl/>
              <w:suppressLineNumbers w:val="0"/>
              <w:snapToGrid w:val="0"/>
              <w:spacing w:before="60" w:beforeAutospacing="0" w:after="60" w:afterAutospacing="0"/>
              <w:ind w:left="0" w:leftChars="0" w:right="0" w:rightChars="0"/>
              <w:jc w:val="left"/>
              <w:rPr>
                <w:rFonts w:hint="eastAsia" w:ascii="宋体" w:hAnsi="宋体" w:eastAsia="宋体" w:cs="宋体"/>
                <w:b/>
                <w:bCs/>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pPr>
        <w:pStyle w:val="6"/>
        <w:wordWrap w:val="0"/>
        <w:spacing w:before="0" w:after="0" w:line="800" w:lineRule="exact"/>
        <w:ind w:firstLine="421"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1" w:name="_Toc2699"/>
      <w:r>
        <w:rPr>
          <w:rFonts w:hint="eastAsia" w:ascii="黑体" w:hAnsi="黑体" w:eastAsia="黑体"/>
          <w:b/>
          <w:bCs/>
          <w:sz w:val="30"/>
          <w:szCs w:val="30"/>
          <w:lang w:val="en-US" w:eastAsia="zh-CN"/>
        </w:rPr>
        <w:t>八、《政府性基金预算财政拨款收入支出决算表》</w:t>
      </w:r>
      <w:bookmarkEnd w:id="11"/>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5"/>
        <w:gridCol w:w="2828"/>
        <w:gridCol w:w="2070"/>
        <w:gridCol w:w="2071"/>
        <w:gridCol w:w="2071"/>
        <w:gridCol w:w="2071"/>
        <w:gridCol w:w="2071"/>
        <w:gridCol w:w="20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075" w:type="dxa"/>
            <w:gridSpan w:val="5"/>
            <w:tcBorders>
              <w:top w:val="nil"/>
              <w:left w:val="nil"/>
              <w:bottom w:val="nil"/>
              <w:right w:val="nil"/>
            </w:tcBorders>
            <w:shd w:val="clear" w:color="auto" w:fill="FFFFFF"/>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天津经济技术开发区科技创新局</w:t>
            </w:r>
          </w:p>
        </w:tc>
        <w:tc>
          <w:tcPr>
            <w:tcW w:w="2071" w:type="dxa"/>
            <w:tcBorders>
              <w:top w:val="nil"/>
              <w:left w:val="nil"/>
              <w:bottom w:val="nil"/>
              <w:right w:val="nil"/>
            </w:tcBorders>
            <w:shd w:val="clear" w:color="auto" w:fill="FFFFFF"/>
            <w:vAlign w:val="center"/>
          </w:tcPr>
          <w:p>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vAlign w:val="center"/>
          </w:tcPr>
          <w:p>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6213"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28"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0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6288" w:type="dxa"/>
            <w:gridSpan w:val="8"/>
            <w:tcBorders>
              <w:top w:val="nil"/>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注：本表反映本年度政府性基金预算财政拨款收入、支出及结转和结余情况。</w:t>
            </w:r>
          </w:p>
        </w:tc>
      </w:tr>
    </w:tbl>
    <w:p>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天津经济技术开发区科技创新局2025年度政府性基金预算财政拨款收入支出决算表为空表。</w:t>
      </w:r>
    </w:p>
    <w:p>
      <w:pPr>
        <w:pStyle w:val="6"/>
        <w:wordWrap w:val="0"/>
        <w:spacing w:before="0" w:after="0" w:line="800" w:lineRule="exact"/>
        <w:ind w:firstLine="421"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2" w:name="_Toc11009"/>
      <w:r>
        <w:rPr>
          <w:rFonts w:hint="eastAsia" w:ascii="黑体" w:hAnsi="黑体" w:eastAsia="黑体"/>
          <w:b/>
          <w:bCs/>
          <w:sz w:val="30"/>
          <w:szCs w:val="30"/>
          <w:lang w:val="en-US" w:eastAsia="zh-CN"/>
        </w:rPr>
        <w:t>九、《国有资本经营预算财政拨款收入支出决算表》</w:t>
      </w:r>
      <w:bookmarkEnd w:id="12"/>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9"/>
        <w:gridCol w:w="4663"/>
        <w:gridCol w:w="1761"/>
        <w:gridCol w:w="1761"/>
        <w:gridCol w:w="1761"/>
        <w:gridCol w:w="1761"/>
        <w:gridCol w:w="1761"/>
        <w:gridCol w:w="17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244" w:type="dxa"/>
            <w:gridSpan w:val="4"/>
            <w:tcBorders>
              <w:top w:val="nil"/>
              <w:left w:val="nil"/>
              <w:bottom w:val="nil"/>
              <w:right w:val="nil"/>
            </w:tcBorders>
            <w:noWrap/>
            <w:vAlign w:val="center"/>
          </w:tcPr>
          <w:p>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天津经济技术开发区科技创新局</w:t>
            </w:r>
          </w:p>
        </w:tc>
        <w:tc>
          <w:tcPr>
            <w:tcW w:w="1761" w:type="dxa"/>
            <w:tcBorders>
              <w:top w:val="nil"/>
              <w:left w:val="nil"/>
              <w:bottom w:val="nil"/>
              <w:right w:val="nil"/>
            </w:tcBorders>
            <w:vAlign w:val="center"/>
          </w:tcPr>
          <w:p>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项 </w:t>
            </w:r>
            <w:r>
              <w:rPr>
                <w:rStyle w:val="28"/>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rPr>
              <w:t>目</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5283"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466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5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466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注：本表反映本年度国有资本</w:t>
            </w:r>
            <w:r>
              <w:rPr>
                <w:rFonts w:hint="eastAsia" w:ascii="宋体" w:hAnsi="宋体" w:eastAsia="宋体" w:cs="宋体"/>
                <w:b w:val="0"/>
                <w:bCs w:val="0"/>
                <w:i w:val="0"/>
                <w:iCs w:val="0"/>
                <w:color w:val="000000"/>
                <w:kern w:val="0"/>
                <w:sz w:val="20"/>
                <w:szCs w:val="20"/>
                <w:u w:val="none"/>
                <w:lang w:val="en-US" w:eastAsia="zh-CN"/>
              </w:rPr>
              <w:t>经营预算财政拨款收入、支</w:t>
            </w:r>
            <w:r>
              <w:rPr>
                <w:rFonts w:hint="eastAsia" w:ascii="宋体" w:hAnsi="宋体" w:eastAsia="宋体" w:cs="宋体"/>
                <w:i w:val="0"/>
                <w:iCs w:val="0"/>
                <w:color w:val="000000"/>
                <w:kern w:val="0"/>
                <w:sz w:val="20"/>
                <w:szCs w:val="20"/>
                <w:u w:val="none"/>
                <w:lang w:val="en-US" w:eastAsia="zh-CN"/>
              </w:rPr>
              <w:t>出及结转和结余情况。</w:t>
            </w:r>
          </w:p>
        </w:tc>
      </w:tr>
    </w:tbl>
    <w:p>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天津经济技术开发区科技创新局2025年度国有资本经营预算财政拨款收入支出决算表为空表。</w:t>
      </w:r>
    </w:p>
    <w:p>
      <w:pPr>
        <w:pStyle w:val="6"/>
        <w:wordWrap w:val="0"/>
        <w:spacing w:before="0" w:after="0" w:line="800" w:lineRule="exact"/>
        <w:ind w:firstLine="421"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3" w:name="_Toc25214"/>
      <w:r>
        <w:rPr>
          <w:rFonts w:hint="eastAsia" w:ascii="黑体" w:hAnsi="黑体" w:eastAsia="黑体"/>
          <w:b/>
          <w:bCs/>
          <w:sz w:val="30"/>
          <w:szCs w:val="30"/>
          <w:lang w:val="en-US" w:eastAsia="zh-CN"/>
        </w:rPr>
        <w:t>十、《财政拨款“三公”经费支出决算表》</w:t>
      </w:r>
      <w:bookmarkEnd w:id="13"/>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8"/>
        <w:gridCol w:w="3018"/>
        <w:gridCol w:w="2668"/>
        <w:gridCol w:w="2668"/>
        <w:gridCol w:w="2669"/>
        <w:gridCol w:w="25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448" w:type="dxa"/>
            <w:gridSpan w:val="4"/>
            <w:tcBorders>
              <w:bottom w:val="single" w:color="auto" w:sz="4" w:space="0"/>
              <w:tl2br w:val="nil"/>
              <w:tr2bl w:val="nil"/>
            </w:tcBorders>
            <w:shd w:val="clear" w:color="auto" w:fill="FFFFFF"/>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天津经济技术开发区科技创新局</w:t>
            </w:r>
          </w:p>
        </w:tc>
        <w:tc>
          <w:tcPr>
            <w:tcW w:w="2299" w:type="dxa"/>
            <w:tcBorders>
              <w:bottom w:val="single" w:color="auto" w:sz="4" w:space="0"/>
              <w:tl2br w:val="nil"/>
              <w:tr2bl w:val="nil"/>
            </w:tcBorders>
            <w:shd w:val="clear" w:color="auto" w:fill="FFFFFF"/>
            <w:vAlign w:val="center"/>
          </w:tcPr>
          <w:p>
            <w:pPr>
              <w:snapToGrid w:val="0"/>
              <w:rPr>
                <w:rFonts w:hint="eastAsia" w:ascii="宋体" w:hAnsi="宋体" w:eastAsia="宋体" w:cs="宋体"/>
                <w:i w:val="0"/>
                <w:iCs w:val="0"/>
                <w:color w:val="000000"/>
                <w:sz w:val="20"/>
                <w:szCs w:val="20"/>
                <w:u w:val="none"/>
              </w:rPr>
            </w:pPr>
          </w:p>
        </w:tc>
        <w:tc>
          <w:tcPr>
            <w:tcW w:w="2299" w:type="dxa"/>
            <w:tcBorders>
              <w:bottom w:val="single" w:color="auto" w:sz="4" w:space="0"/>
              <w:tl2br w:val="nil"/>
              <w:tr2bl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362"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因公出国（境）费</w:t>
            </w:r>
          </w:p>
        </w:tc>
        <w:tc>
          <w:tcPr>
            <w:tcW w:w="7087"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公务用车购置及运行维护费</w:t>
            </w:r>
          </w:p>
        </w:tc>
        <w:tc>
          <w:tcPr>
            <w:tcW w:w="2299"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i w:val="0"/>
                <w:iCs w:val="0"/>
                <w:color w:val="000000"/>
                <w:sz w:val="20"/>
                <w:szCs w:val="20"/>
                <w:u w:val="none"/>
              </w:rPr>
            </w:pPr>
          </w:p>
        </w:tc>
        <w:tc>
          <w:tcPr>
            <w:tcW w:w="2362"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i w:val="0"/>
                <w:iCs w:val="0"/>
                <w:color w:val="000000"/>
                <w:sz w:val="20"/>
                <w:szCs w:val="20"/>
                <w:u w:val="none"/>
              </w:rPr>
            </w:pPr>
          </w:p>
        </w:tc>
        <w:tc>
          <w:tcPr>
            <w:tcW w:w="236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36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购置费</w:t>
            </w:r>
          </w:p>
        </w:tc>
        <w:tc>
          <w:tcPr>
            <w:tcW w:w="229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运行维护费</w:t>
            </w:r>
          </w:p>
        </w:tc>
        <w:tc>
          <w:tcPr>
            <w:tcW w:w="2299"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29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6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30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68" w:type="dxa"/>
            <w:gridSpan w:val="6"/>
            <w:tcBorders>
              <w:top w:val="single" w:color="auto" w:sz="4" w:space="0"/>
              <w:tl2br w:val="nil"/>
              <w:tr2bl w:val="nil"/>
            </w:tcBorders>
            <w:vAlign w:val="center"/>
          </w:tcPr>
          <w:p>
            <w:pPr>
              <w:snapToGrid w:val="0"/>
              <w:jc w:val="left"/>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kern w:val="0"/>
                <w:sz w:val="20"/>
                <w:szCs w:val="20"/>
                <w:u w:val="none"/>
                <w:lang w:val="en-US" w:eastAsia="zh-CN"/>
              </w:rPr>
              <w:t>注：本表反映本年度一般公共预算和政府性基金预算“三公”经费支出决算情况。</w:t>
            </w:r>
          </w:p>
        </w:tc>
      </w:tr>
    </w:tbl>
    <w:p>
      <w:pPr>
        <w:snapToGrid w:val="0"/>
        <w:ind w:left="-960" w:leftChars="-40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天津经济技术开发区科技创新局2025年财政拨款“三公”经费支出决算表为空表。</w:t>
      </w:r>
    </w:p>
    <w:p>
      <w:pPr>
        <w:pStyle w:val="6"/>
        <w:wordWrap w:val="0"/>
        <w:spacing w:before="0" w:after="0" w:line="800" w:lineRule="exact"/>
        <w:ind w:firstLine="421"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r>
      <w:bookmarkStart w:id="14" w:name="_Toc18972"/>
      <w:r>
        <w:rPr>
          <w:rFonts w:hint="eastAsia" w:ascii="黑体" w:hAnsi="黑体" w:eastAsia="黑体"/>
          <w:b/>
          <w:bCs/>
          <w:sz w:val="30"/>
          <w:szCs w:val="30"/>
          <w:lang w:val="en-US" w:eastAsia="zh-CN"/>
        </w:rPr>
        <w:t>十一、《项目支出决算表》</w:t>
      </w:r>
      <w:bookmarkEnd w:id="14"/>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838"/>
        <w:gridCol w:w="2053"/>
        <w:gridCol w:w="2053"/>
        <w:gridCol w:w="2053"/>
        <w:gridCol w:w="2053"/>
        <w:gridCol w:w="2053"/>
        <w:gridCol w:w="20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天津经济技术开发区科技创新局</w:t>
            </w:r>
          </w:p>
        </w:tc>
        <w:tc>
          <w:tcPr>
            <w:tcW w:w="2053" w:type="dxa"/>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p>
        </w:tc>
        <w:tc>
          <w:tcPr>
            <w:tcW w:w="2053" w:type="dxa"/>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p>
        </w:tc>
        <w:tc>
          <w:tcPr>
            <w:tcW w:w="4107" w:type="dxa"/>
            <w:gridSpan w:val="2"/>
            <w:tcBorders>
              <w:top w:val="nil"/>
              <w:left w:val="nil"/>
              <w:bottom w:val="nil"/>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3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2319" w:type="dxa"/>
            <w:gridSpan w:val="6"/>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  年  支  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0"/>
                <w:szCs w:val="20"/>
                <w:u w:val="none"/>
              </w:rPr>
            </w:pPr>
          </w:p>
        </w:tc>
        <w:tc>
          <w:tcPr>
            <w:tcW w:w="2838" w:type="dxa"/>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经营预算</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财政专户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管理资金</w:t>
            </w:r>
          </w:p>
        </w:tc>
        <w:tc>
          <w:tcPr>
            <w:tcW w:w="20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exact"/>
          <w:jc w:val="center"/>
        </w:trPr>
        <w:tc>
          <w:tcPr>
            <w:tcW w:w="3969"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141872339.85</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140872339.85</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1000000.00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一般公共服务支出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1129975.00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1129975.00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政府办公厅（室）及相关机构事务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304500.00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304500.00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2010302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一般行政管理事务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304500.00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304500.00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20113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商贸事务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825475.00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825475.00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2011302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一般行政管理事务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187408.00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187408.00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2011308</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招商引资</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638067.00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638067.00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科学技术支出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120529264.85</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119529264.85</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科学技术管理事务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877784.00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877784.00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2060102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一般行政管理事务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877784.00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877784.00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20604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技术研究与开发</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118651480.85</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118651480.85</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2060499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其他技术研究与开发支出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118651480.85</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118651480.85</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其他科学技术支出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2069901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科技奖励</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社会保障和就业支出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3437500.00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3437500.00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人力资源和社会保障管理事务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3437500.00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3437500.00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2080116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引进人才费用</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3437500.00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3437500.00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资源勘探工业信息等支出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16775600.00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16775600.00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制造业</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14000000.00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14000000.00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2150299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其他制造业支出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14000000.00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14000000.00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21508</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支持中小企业发展和管理支出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2775600.00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2775600.00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2150805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中小企业发展专项</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2775600.00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2775600.00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注：本表反映本年度项目支出决算情况，其中支出数包括当年预算资金和以前年度结转资金安排的合计实际支出。</w:t>
            </w:r>
          </w:p>
        </w:tc>
      </w:tr>
    </w:tbl>
    <w:p>
      <w:p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5"/>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5" w:name="_Toc7922"/>
      <w:r>
        <w:rPr>
          <w:rFonts w:hint="eastAsia" w:ascii="方正小标宋简体" w:hAnsi="方正小标宋简体" w:eastAsia="方正小标宋简体" w:cs="方正小标宋简体"/>
          <w:b w:val="0"/>
          <w:bCs w:val="0"/>
          <w:lang w:val="en-US" w:eastAsia="zh-CN"/>
        </w:rPr>
        <w:t>第三部分  2025年度部门决算情况说明</w:t>
      </w:r>
      <w:bookmarkEnd w:id="15"/>
    </w:p>
    <w:p>
      <w:pPr>
        <w:spacing w:line="600" w:lineRule="exact"/>
        <w:ind w:firstLine="600" w:firstLineChars="200"/>
        <w:rPr>
          <w:rFonts w:hint="eastAsia" w:ascii="黑体" w:eastAsia="黑体"/>
          <w:sz w:val="30"/>
          <w:szCs w:val="30"/>
          <w:highlight w:val="none"/>
        </w:rPr>
      </w:pPr>
    </w:p>
    <w:p>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6" w:name="_Toc7052"/>
      <w:r>
        <w:rPr>
          <w:rFonts w:hint="eastAsia" w:ascii="黑体" w:hAnsi="黑体" w:eastAsia="黑体" w:cs="方正仿宋_GB2312"/>
          <w:bCs w:val="0"/>
          <w:sz w:val="30"/>
          <w:szCs w:val="30"/>
          <w:lang w:val="en-US" w:eastAsia="zh-CN"/>
        </w:rPr>
        <w:t>一、收入支出决算总体情况说明</w:t>
      </w:r>
      <w:bookmarkEnd w:id="16"/>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天津经济技术开发区科技创新局2025年度收入、支出决算总计153,048,179.94元。与2024年度相比，收、支总计各减少100,786,287.42元，下降39.71%，主要原因是本年度高新技术产业项目减少，整体收支较上年度减少。</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收入包括：一般公共预算财政拨款收入152,048,179.94元、其他收入1,000,000.00元。</w:t>
      </w:r>
    </w:p>
    <w:p>
      <w:pPr>
        <w:spacing w:line="600" w:lineRule="exact"/>
        <w:ind w:firstLine="600"/>
        <w:rPr>
          <w:rFonts w:hint="eastAsia" w:eastAsia="仿宋_GB2312"/>
          <w:sz w:val="30"/>
          <w:szCs w:val="30"/>
          <w:highlight w:val="none"/>
          <w:lang w:val="en-US" w:eastAsia="zh-CN"/>
        </w:rPr>
      </w:pPr>
      <w:bookmarkStart w:id="17" w:name="_Toc6621"/>
      <w:r>
        <w:rPr>
          <w:rFonts w:hint="eastAsia" w:eastAsia="仿宋_GB2312"/>
          <w:sz w:val="30"/>
          <w:szCs w:val="30"/>
          <w:highlight w:val="none"/>
          <w:lang w:val="en-US" w:eastAsia="zh-CN"/>
        </w:rPr>
        <w:t>支出包括：一般公共服务支出1,129,975.00元、科学技术支出131,705,104.94元、社会保障和就业支出3,437,500.00元、资源勘探工业信息等支出16,775,600.00元。</w:t>
      </w:r>
    </w:p>
    <w:p>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r>
        <w:rPr>
          <w:rFonts w:hint="eastAsia" w:ascii="黑体" w:hAnsi="黑体" w:eastAsia="黑体" w:cs="方正仿宋_GB2312"/>
          <w:bCs w:val="0"/>
          <w:sz w:val="30"/>
          <w:szCs w:val="30"/>
          <w:lang w:val="en-US" w:eastAsia="zh-CN"/>
        </w:rPr>
        <w:t>二、收入决算情况说明</w:t>
      </w:r>
      <w:bookmarkEnd w:id="17"/>
    </w:p>
    <w:p>
      <w:pPr>
        <w:spacing w:line="600" w:lineRule="exact"/>
        <w:ind w:firstLine="600"/>
        <w:jc w:val="both"/>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科技创新局2025年度本年收入合计153,048,179.94元，与2024年度相比减少100,236,287.42元，主要原因是本年度高新技术产业项目减少，整体收入较上年度减少。其中：一般公共预算财政拨款收入152,048,179.94元，占99.35%；其他收入1,000,000.00元，占0.65%。</w:t>
      </w:r>
    </w:p>
    <w:p>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8" w:name="_Toc21049"/>
      <w:r>
        <w:rPr>
          <w:rFonts w:hint="eastAsia" w:ascii="黑体" w:hAnsi="黑体" w:eastAsia="黑体" w:cs="方正仿宋_GB2312"/>
          <w:bCs w:val="0"/>
          <w:sz w:val="30"/>
          <w:szCs w:val="30"/>
          <w:highlight w:val="none"/>
          <w:u w:val="none"/>
          <w:lang w:val="en-US" w:eastAsia="zh-CN"/>
        </w:rPr>
        <w:t>三、支出决算情况说明</w:t>
      </w:r>
      <w:bookmarkEnd w:id="18"/>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科技创新局2025年度本年支出合计153,048,179.94元，与2024年度相比减少100,786,287.42元，主要原因是本年度高新技术产业项目减少，整体支出较上年度减少。其中：基本支出11,175,840.09元，占7.30%；项目支出141,872,339.85元，占92.70%。</w:t>
      </w:r>
    </w:p>
    <w:p>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9" w:name="_Toc8231"/>
      <w:r>
        <w:rPr>
          <w:rFonts w:hint="eastAsia" w:ascii="黑体" w:hAnsi="黑体" w:eastAsia="黑体" w:cs="方正仿宋_GB2312"/>
          <w:bCs w:val="0"/>
          <w:sz w:val="30"/>
          <w:szCs w:val="30"/>
          <w:highlight w:val="none"/>
          <w:u w:val="none"/>
          <w:lang w:val="en-US" w:eastAsia="zh-CN"/>
        </w:rPr>
        <w:t>四、财政拨款收支决算总体情况说明</w:t>
      </w:r>
      <w:bookmarkEnd w:id="19"/>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科技创新局2025年度财政拨款收入、支出决算总计152,048,179.94元。与2024年度相比，财政拨款收、支总计各减少100,936,287.42元，下降39.90%，主要原因是本年度高新技术产业项目减少，整体收支较上年度减少。</w:t>
      </w:r>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收入包括：一般公共预算财政拨款152,048,179.94元。</w:t>
      </w:r>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支出包括：一般公共服务支出1,129,975.00元、科学技术支出130,705,104.94元、社会保障和就业支出3,437,500.00元、资源勘探工业信息等支出16,775,600.00元。</w:t>
      </w:r>
    </w:p>
    <w:p>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20" w:name="_Toc24201"/>
      <w:r>
        <w:rPr>
          <w:rFonts w:hint="eastAsia" w:ascii="黑体" w:hAnsi="黑体" w:eastAsia="黑体" w:cs="方正仿宋_GB2312"/>
          <w:bCs w:val="0"/>
          <w:sz w:val="30"/>
          <w:szCs w:val="30"/>
          <w:highlight w:val="none"/>
          <w:u w:val="none"/>
          <w:lang w:val="en-US" w:eastAsia="zh-CN"/>
        </w:rPr>
        <w:t>五、一般公共预算财政拨款支出决算情况说明</w:t>
      </w:r>
      <w:bookmarkEnd w:id="20"/>
    </w:p>
    <w:p>
      <w:pPr>
        <w:spacing w:line="600" w:lineRule="exact"/>
        <w:ind w:left="480" w:left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（一）总体情况</w:t>
      </w:r>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科技创新局2025年度一般公共预算财政拨款支出合计152,048,179.94元，占本年支出合计的99.35%。与2024年度相比，一般公共预算财政拨款支出减少100,636,287.42元，下降39.83%，主要原因是本年度高新技术产业项目减少，整体支出较上年度减少。</w:t>
      </w:r>
    </w:p>
    <w:p>
      <w:pPr>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lang w:val="en-US" w:eastAsia="zh-CN"/>
        </w:rPr>
        <w:t>（二）支出结构情况</w:t>
      </w:r>
    </w:p>
    <w:p>
      <w:pPr>
        <w:spacing w:line="600" w:lineRule="exact"/>
        <w:ind w:firstLine="600" w:firstLineChars="200"/>
        <w:jc w:val="both"/>
        <w:rPr>
          <w:rFonts w:eastAsia="仿宋_GB2312"/>
          <w:sz w:val="30"/>
          <w:szCs w:val="30"/>
          <w:highlight w:val="none"/>
        </w:rPr>
      </w:pPr>
      <w:r>
        <w:rPr>
          <w:rFonts w:hint="eastAsia" w:eastAsia="仿宋_GB2312"/>
          <w:sz w:val="30"/>
          <w:szCs w:val="30"/>
          <w:highlight w:val="none"/>
          <w:lang w:val="en-US" w:eastAsia="zh-CN"/>
        </w:rPr>
        <w:t>2025年度一般公共预算财政拨款支出152,048,179.94元，主要用于以下方面：</w:t>
      </w:r>
      <w:r>
        <w:rPr>
          <w:rFonts w:hint="eastAsia" w:eastAsia="仿宋_GB2312"/>
          <w:sz w:val="30"/>
          <w:szCs w:val="30"/>
          <w:highlight w:val="none"/>
        </w:rPr>
        <w:t>一般公共服务支出（类）支出1,129,975.00元，占0.74%，科学技术支出（类）支出130,705,104.94元，占85.97%，社会保障和就业支出（类）支出3,437,500.00元，占2.26%，资源勘探工业信息等支出（类）支出16,775,600.00元，占11.03%。</w:t>
      </w:r>
    </w:p>
    <w:p>
      <w:pPr>
        <w:spacing w:line="600" w:lineRule="exact"/>
        <w:ind w:firstLine="602" w:firstLine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（三）具体情况</w:t>
      </w:r>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2025年度一般公共预算财政拨款支出年初预算为114,889,000.00元，支出决算为152,048,179.94元，完成年初预算的132.34%。其中：</w:t>
      </w:r>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1.一般公共服务支出（类）政府办公厅（室）及相关机构事务（款）一般行政管理事务（项）年初预算为0.00元，支出决算为304,500.00元，决算数大于年初预算数的主要原因是：年中追加预算，用于“十五五”规划专项工作。</w:t>
      </w:r>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2.一般公共服务支出（类）商贸事务（款）一般行政管理事务（项）年初预算为220,000.00元，支出决算为187,408.00元，完成年初预算的85.19%，决算数小于年初预算数的主要原因是：根据项目情况，压减一般性支出。</w:t>
      </w:r>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3.一般公共服务支出（类）商贸事务（款）招商引资（项）年初预算为1,000,000.00元，支出决算为638,067.00元，完成年初预算的63.81%，决算数小于年初预算数的主要原因是：本年度优化招商活动，压减招商支出。</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4.科学技术支出（类）科学技术管理事务（款）行政运行（项）年初预算为12,769,000.00元，支出决算为11,175,840.09元，完成年初预算的87.52%，决算数小于年初预算数的主要原因是：严控支出，压减非刚性支出。</w:t>
      </w:r>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5.科学技术支出（类）科学技术管理事务（款）一般行政管理事务（项）年初预算为900,000.00元，支出决算为877,784.00元，完成年初预算的97.53%，决算数小于年初预算数的主要原因是：基本完成预算支出， 合同金额略低于预算额度。</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6.科学技术支出（类）技术研究与开发（款）其他技术研究与开发支出（项）年初预算为76,320,000.00元，支出决算为118,651,480.85元，完成年初预算的155.47%，决算数大于年初预算数的主要原因是：年中追加高新技术产业项目预算并支出。</w:t>
      </w:r>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7.社会保障和就业支出（类）人力资源和社会保障管理事务（款）引进人才费用（项）年初预算为0.00元，支出决算为3,437,500.00元，决算数大于年初预算数的主要原因是：年中追加人才引进、培养等项目经费预算并支出。</w:t>
      </w:r>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8.资源勘探工业信息等支出（类）制造业（款）其他制造业支出（项）年初预算为2,180,000.00元，支出决算为14,000,000.00元，完成年初预算的642.20%，决算数大于年初预算数的主要原因是：年中追加先进制造业项目预算并支出。</w:t>
      </w:r>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9.资源勘探工业信息等支出（类）支持中小企业发展和管理支出（款）中小企业发展专项（项）年初预算为0.00元，支出决算为2,775,600.00元，决算数大于年初预算数的主要原因是：年中追加中小企业发展专项项目预算并支出。</w:t>
      </w:r>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10.商业服务业等支出（类）涉外发展服务支出（款）其他涉外发展服务支出（项）年初预算为21,500,000.00元，支出决算为0.00元，决算数小于年初预算数的主要原因是：商业服务业类项目工作尚未达到约定付款条件，相关款项当年未予支付，因此项目决算支出较年初预算数减少。</w:t>
      </w:r>
    </w:p>
    <w:p>
      <w:pPr>
        <w:pStyle w:val="6"/>
        <w:spacing w:before="0" w:after="0" w:line="600" w:lineRule="exact"/>
        <w:ind w:firstLine="602" w:firstLineChars="200"/>
        <w:rPr>
          <w:rFonts w:ascii="黑体" w:hAnsi="黑体" w:eastAsia="黑体"/>
          <w:b w:val="0"/>
          <w:sz w:val="30"/>
          <w:szCs w:val="30"/>
          <w:highlight w:val="none"/>
        </w:rPr>
      </w:pPr>
      <w:bookmarkStart w:id="21" w:name="_Toc17234"/>
      <w:r>
        <w:rPr>
          <w:rFonts w:hint="eastAsia" w:ascii="黑体" w:hAnsi="黑体" w:eastAsia="黑体" w:cs="方正仿宋_GB2312"/>
          <w:bCs w:val="0"/>
          <w:sz w:val="30"/>
          <w:szCs w:val="30"/>
          <w:highlight w:val="none"/>
          <w:u w:val="none"/>
          <w:lang w:val="en-US" w:eastAsia="zh-CN"/>
        </w:rPr>
        <w:t>六、一般公共预算财政拨款基本支出决算情况说明</w:t>
      </w:r>
      <w:bookmarkEnd w:id="21"/>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天津经济技术开发区科技创新局2025年度一般公共预算财政拨款基本支出合计11,175,840.09元，与2024年度相比减少421,786.61元，主要原因是人员变动，人员经费减少。其中：</w:t>
      </w:r>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人员经费10,765,626.18元，主要包括基本工资、津贴补贴、机关事业单位基本养老保险缴费、职业年金缴费、职工基本医疗保险缴费、其他社会保障缴费、住房公积金。</w:t>
      </w:r>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公用经费410,213.91元，主要包括办公费、印刷费、手续费、水费、差旅费、维修(护)费、会议费、培训费、委托业务费、其他交通费用、其他商品和服务支出、办公设备购置。</w:t>
      </w:r>
    </w:p>
    <w:p>
      <w:pPr>
        <w:pStyle w:val="6"/>
        <w:spacing w:before="0" w:after="0" w:line="600" w:lineRule="exact"/>
        <w:ind w:firstLine="602" w:firstLineChars="200"/>
        <w:rPr>
          <w:rFonts w:hint="eastAsia" w:ascii="楷体" w:hAnsi="楷体" w:eastAsia="楷体" w:cs="方正仿宋_GB2312"/>
          <w:b w:val="0"/>
          <w:sz w:val="30"/>
          <w:szCs w:val="30"/>
          <w:highlight w:val="none"/>
        </w:rPr>
      </w:pPr>
      <w:bookmarkStart w:id="22" w:name="_Toc11228"/>
      <w:r>
        <w:rPr>
          <w:rFonts w:hint="eastAsia" w:ascii="黑体" w:hAnsi="黑体" w:eastAsia="黑体" w:cs="方正仿宋_GB2312"/>
          <w:bCs w:val="0"/>
          <w:sz w:val="30"/>
          <w:szCs w:val="30"/>
          <w:highlight w:val="none"/>
          <w:u w:val="none"/>
          <w:lang w:val="en-US" w:eastAsia="zh-CN"/>
        </w:rPr>
        <w:t>七、政府性基金预算财政拨款收支决算情况说明</w:t>
      </w:r>
      <w:bookmarkEnd w:id="22"/>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天津经济技术开发区科技创新局2025年度无政府性基金预算财政拨款收入、支出和结转结余。</w:t>
      </w:r>
    </w:p>
    <w:p>
      <w:pPr>
        <w:pStyle w:val="6"/>
        <w:spacing w:before="0" w:after="0" w:line="600" w:lineRule="exact"/>
        <w:ind w:firstLine="602" w:firstLineChars="200"/>
        <w:rPr>
          <w:rFonts w:hint="eastAsia" w:eastAsia="黑体"/>
          <w:b w:val="0"/>
          <w:sz w:val="30"/>
          <w:szCs w:val="30"/>
          <w:highlight w:val="none"/>
        </w:rPr>
      </w:pPr>
      <w:bookmarkStart w:id="23" w:name="_Toc2429"/>
      <w:r>
        <w:rPr>
          <w:rFonts w:hint="eastAsia" w:ascii="黑体" w:hAnsi="黑体" w:eastAsia="黑体" w:cs="方正仿宋_GB2312"/>
          <w:bCs w:val="0"/>
          <w:sz w:val="30"/>
          <w:szCs w:val="30"/>
          <w:highlight w:val="none"/>
          <w:u w:val="none"/>
          <w:lang w:val="en-US" w:eastAsia="zh-CN"/>
        </w:rPr>
        <w:t>八、国有资本经营预算财政拨款收支决算情况说明</w:t>
      </w:r>
      <w:bookmarkEnd w:id="23"/>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天津经济技术开发区科技创新局2025年度无国有资本经营预算财政拨款收入、支出和结转结余。</w:t>
      </w:r>
    </w:p>
    <w:p>
      <w:pPr>
        <w:pStyle w:val="6"/>
        <w:spacing w:before="0" w:after="0" w:line="600" w:lineRule="exact"/>
        <w:ind w:firstLine="602" w:firstLineChars="200"/>
        <w:rPr>
          <w:rFonts w:ascii="黑体" w:hAnsi="黑体" w:eastAsia="黑体"/>
          <w:b w:val="0"/>
          <w:sz w:val="30"/>
          <w:szCs w:val="30"/>
          <w:highlight w:val="none"/>
        </w:rPr>
      </w:pPr>
      <w:bookmarkStart w:id="24" w:name="_Toc22288"/>
      <w:r>
        <w:rPr>
          <w:rFonts w:hint="eastAsia" w:ascii="黑体" w:hAnsi="黑体" w:eastAsia="黑体" w:cs="方正仿宋_GB2312"/>
          <w:bCs w:val="0"/>
          <w:sz w:val="30"/>
          <w:szCs w:val="30"/>
          <w:highlight w:val="none"/>
          <w:u w:val="none"/>
          <w:lang w:val="en-US" w:eastAsia="zh-CN"/>
        </w:rPr>
        <w:t>九、财政拨款“三公”经费支出决算情况说明</w:t>
      </w:r>
      <w:bookmarkEnd w:id="24"/>
    </w:p>
    <w:p>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pPr>
        <w:spacing w:line="600" w:lineRule="exact"/>
        <w:ind w:firstLine="600"/>
        <w:rPr>
          <w:rFonts w:hint="default" w:eastAsia="仿宋_GB2312"/>
          <w:sz w:val="30"/>
          <w:szCs w:val="30"/>
          <w:highlight w:val="none"/>
          <w:lang w:val="en-US" w:eastAsia="zh-CN"/>
        </w:rPr>
      </w:pPr>
      <w:r>
        <w:rPr>
          <w:rFonts w:hint="eastAsia" w:eastAsia="仿宋_GB2312"/>
          <w:sz w:val="30"/>
          <w:szCs w:val="30"/>
          <w:highlight w:val="none"/>
          <w:lang w:val="en-US" w:eastAsia="zh-CN"/>
        </w:rPr>
        <w:t>2025年财政拨款“三公”经费预算0.00元，支出决算0.00元，与2025年预算相比持平；支出决算较上年减少58,000.00元，下降100.00%。决算数与预算数持平的主要原因是本年度未用财政拨款经费列支“三公”经费</w:t>
      </w:r>
    </w:p>
    <w:p>
      <w:pPr>
        <w:spacing w:line="600" w:lineRule="exact"/>
        <w:ind w:firstLine="600"/>
        <w:rPr>
          <w:rFonts w:hint="default" w:eastAsia="仿宋_GB2312"/>
          <w:sz w:val="30"/>
          <w:szCs w:val="30"/>
          <w:highlight w:val="none"/>
          <w:lang w:val="en-US" w:eastAsia="zh-CN"/>
        </w:rPr>
      </w:pPr>
      <w:r>
        <w:rPr>
          <w:rFonts w:hint="eastAsia" w:eastAsia="仿宋_GB2312"/>
          <w:sz w:val="30"/>
          <w:szCs w:val="30"/>
          <w:highlight w:val="none"/>
          <w:lang w:val="en-US" w:eastAsia="zh-CN"/>
        </w:rPr>
        <w:t>；决算数较上年减少的主要原因是本年度未用财政拨款经费列支“三公”经费。</w:t>
      </w:r>
    </w:p>
    <w:p>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0.00元，支出决算0.00元，与预算相比持平；支出决算较上年减少58,000.00元，下降100.00%。决算数与预算数持平的主要原因是本年度未用财政拨款经费列支因公出国（境）费；决算数较上年减少的主要原因是本年度未用财政拨款经费列支因公出国（境）费。</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2025年本单位组织的出国团组0个，出国0人次。</w:t>
      </w:r>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0.00元，支出决算0.00元，与预算相比持平；支出决算较上年持平。决算数与预算数持平的主要原因是本年度未用财政拨款经费列支公务用车购置及运行维护费；决算数较上年持平的主要原因是本年度未用财政拨款经费列支公务用车购置及运行维护费。其中：</w:t>
      </w:r>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0.00元，支出决算0.00元，与预算相比持平；支出决算较上年持平。决算数与预算数持平的主要原因是本年度未用财政拨款经费列支公务用车运行维护费；决算数较上年持平的主要原因是本年度未用财政拨款经费列支公务用车运行维护费。</w:t>
      </w:r>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截至2025年12月31日，使用财政拨款开支运行维护费的公务用车保有量为0辆。</w:t>
      </w:r>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本年度未用财政拨款经费列支公务用车购置费；决算数较上年持平的主要原因是本年度未用财政拨款经费列支公务用车购置费。</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0.00元，支出决算0.00元，与预算相比持平；支出决算较上年持平。决算数与预算数持平的主要原因是本年度未用财政拨款经费列支公务接待费；决算数较上年持平的主要原因是本年度未用财政拨款经费列支公务接待费。</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2025年本单位国内公务接待0批次，0人次；其中，外事接待0批次，0人次。</w:t>
      </w:r>
    </w:p>
    <w:p>
      <w:pPr>
        <w:pStyle w:val="6"/>
        <w:spacing w:before="0" w:after="0" w:line="600" w:lineRule="exact"/>
        <w:ind w:firstLine="602" w:firstLineChars="200"/>
        <w:rPr>
          <w:rFonts w:ascii="黑体" w:hAnsi="黑体" w:eastAsia="黑体"/>
          <w:b w:val="0"/>
          <w:sz w:val="30"/>
          <w:szCs w:val="30"/>
          <w:highlight w:val="none"/>
        </w:rPr>
      </w:pPr>
      <w:bookmarkStart w:id="25" w:name="_Toc30303"/>
      <w:r>
        <w:rPr>
          <w:rFonts w:hint="eastAsia" w:ascii="黑体" w:hAnsi="黑体" w:eastAsia="黑体" w:cs="方正仿宋_GB2312"/>
          <w:bCs w:val="0"/>
          <w:sz w:val="30"/>
          <w:szCs w:val="30"/>
          <w:highlight w:val="none"/>
          <w:u w:val="none"/>
          <w:lang w:val="en-US" w:eastAsia="zh-CN"/>
        </w:rPr>
        <w:t>十、机关运行经费支出情况说明</w:t>
      </w:r>
      <w:bookmarkEnd w:id="25"/>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机关运行经费是指行政单位和参照公务员法管理的事业单位使用财政拨款安排的基本支出中的日常公用经费支出，天津经济技术开发区科技创新局2025年度机关运行经费年初预算434,600.00元，决算数410,213.91元，与年初预算相比减少24,386.09元，完成年初预算的94.39%；比2024年增加123,188.68元，增长42.92%。主要原因是：根据政府收支分类科目要求，本年度公用经费列支了残保金。</w:t>
      </w:r>
    </w:p>
    <w:p>
      <w:pPr>
        <w:pStyle w:val="6"/>
        <w:spacing w:before="0" w:after="0" w:line="600" w:lineRule="exact"/>
        <w:ind w:firstLine="602" w:firstLineChars="200"/>
        <w:rPr>
          <w:rFonts w:hint="eastAsia" w:ascii="黑体" w:hAnsi="黑体" w:eastAsia="黑体" w:cs="方正仿宋_GB2312"/>
          <w:bCs w:val="0"/>
          <w:sz w:val="30"/>
          <w:szCs w:val="30"/>
          <w:highlight w:val="none"/>
          <w:u w:val="none"/>
          <w:lang w:val="en-US" w:eastAsia="zh-CN"/>
        </w:rPr>
      </w:pPr>
      <w:bookmarkStart w:id="26" w:name="_Toc3597"/>
      <w:r>
        <w:rPr>
          <w:rFonts w:hint="eastAsia" w:ascii="黑体" w:hAnsi="黑体" w:eastAsia="黑体" w:cs="方正仿宋_GB2312"/>
          <w:bCs w:val="0"/>
          <w:sz w:val="30"/>
          <w:szCs w:val="30"/>
          <w:highlight w:val="none"/>
          <w:u w:val="none"/>
          <w:lang w:val="en-US" w:eastAsia="zh-CN"/>
        </w:rPr>
        <w:t>十一、政府采购支出情况说明</w:t>
      </w:r>
      <w:bookmarkEnd w:id="26"/>
    </w:p>
    <w:p>
      <w:pPr>
        <w:spacing w:line="600" w:lineRule="exact"/>
        <w:ind w:firstLine="600"/>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科技创新局2025年政府采购支出总额40,788.00元，其中：政府采购货物支出40,788.00元、政府采购工程支出0.00元、政府采购服务支出0.00元。授予中小企业合同金额5,788.00元，占政府采购支出总额的14.19%，其中：授予小微企业合同金额4,998.00元，占政府采购支出总额的12.25%；货物采购授予中小企业合同金额占货物支出金额的14.19%，工程采购授予中小企业合同金额占工程支出金额的0.00%，服务采购授予中小企业合同金额占服务支出金额的0.00%。</w:t>
      </w:r>
    </w:p>
    <w:p>
      <w:pPr>
        <w:pStyle w:val="6"/>
        <w:spacing w:before="0" w:after="0" w:line="600" w:lineRule="exact"/>
        <w:ind w:firstLine="602" w:firstLineChars="200"/>
        <w:rPr>
          <w:rFonts w:hint="eastAsia" w:ascii="黑体" w:hAnsi="黑体" w:eastAsia="黑体"/>
          <w:b w:val="0"/>
          <w:sz w:val="30"/>
          <w:szCs w:val="30"/>
          <w:highlight w:val="none"/>
        </w:rPr>
      </w:pPr>
      <w:bookmarkStart w:id="27" w:name="_Toc32039"/>
      <w:r>
        <w:rPr>
          <w:rFonts w:hint="eastAsia" w:ascii="黑体" w:hAnsi="黑体" w:eastAsia="黑体" w:cs="方正仿宋_GB2312"/>
          <w:bCs w:val="0"/>
          <w:sz w:val="30"/>
          <w:szCs w:val="30"/>
          <w:highlight w:val="none"/>
          <w:u w:val="none"/>
          <w:lang w:val="en-US" w:eastAsia="zh-CN"/>
        </w:rPr>
        <w:t>十二、国有资产占有使用情况说明</w:t>
      </w:r>
      <w:bookmarkEnd w:id="27"/>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天津经济技术开发区科技创新局2025年度无国有资产占有使用情况。</w:t>
      </w:r>
    </w:p>
    <w:p>
      <w:pPr>
        <w:pStyle w:val="6"/>
        <w:spacing w:before="0" w:after="0" w:line="600" w:lineRule="exact"/>
        <w:ind w:firstLine="602" w:firstLineChars="200"/>
        <w:rPr>
          <w:rFonts w:hint="eastAsia" w:ascii="黑体" w:hAnsi="黑体" w:eastAsia="黑体" w:cs="方正仿宋_GB2312"/>
          <w:b/>
          <w:bCs w:val="0"/>
          <w:sz w:val="30"/>
          <w:szCs w:val="30"/>
          <w:highlight w:val="none"/>
          <w:u w:val="none"/>
          <w:lang w:val="en-US" w:eastAsia="zh-CN"/>
        </w:rPr>
      </w:pPr>
      <w:bookmarkStart w:id="28" w:name="_Toc2201"/>
      <w:r>
        <w:rPr>
          <w:rFonts w:hint="eastAsia" w:ascii="黑体" w:hAnsi="黑体" w:eastAsia="黑体" w:cs="方正仿宋_GB2312"/>
          <w:b/>
          <w:bCs w:val="0"/>
          <w:sz w:val="30"/>
          <w:szCs w:val="30"/>
          <w:highlight w:val="none"/>
          <w:u w:val="none"/>
          <w:lang w:val="en-US" w:eastAsia="zh-CN"/>
        </w:rPr>
        <w:t>十三、预算绩效情况说明</w:t>
      </w:r>
      <w:bookmarkEnd w:id="28"/>
    </w:p>
    <w:p>
      <w:pPr>
        <w:spacing w:line="600" w:lineRule="exact"/>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根据预算绩效管理要求，天津经济技术开发区科技创新局2025年度已对17个区级项目开展绩效自评，涉及金额137,797,080.85元，自评结果已随部门决算一并公开。</w:t>
      </w:r>
    </w:p>
    <w:p>
      <w:pPr>
        <w:spacing w:line="600" w:lineRule="exact"/>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本部门2025年度未开展部门评价。</w:t>
      </w:r>
    </w:p>
    <w:p>
      <w:pPr>
        <w:pStyle w:val="6"/>
        <w:spacing w:before="0" w:after="0" w:line="600" w:lineRule="exact"/>
        <w:ind w:firstLine="602" w:firstLineChars="200"/>
        <w:rPr>
          <w:rFonts w:ascii="Times New Roman" w:hAnsi="Times New Roman" w:eastAsia="黑体"/>
          <w:b w:val="0"/>
          <w:sz w:val="30"/>
          <w:szCs w:val="30"/>
          <w:highlight w:val="none"/>
        </w:rPr>
      </w:pPr>
      <w:bookmarkStart w:id="29" w:name="_Toc10864"/>
      <w:r>
        <w:rPr>
          <w:rFonts w:hint="eastAsia" w:ascii="黑体" w:hAnsi="黑体" w:eastAsia="黑体" w:cs="方正仿宋_GB2312"/>
          <w:bCs w:val="0"/>
          <w:sz w:val="30"/>
          <w:szCs w:val="30"/>
          <w:highlight w:val="none"/>
          <w:u w:val="none"/>
          <w:lang w:val="en-US" w:eastAsia="zh-CN"/>
        </w:rPr>
        <w:t>十四、教育、医疗卫生、社会保障和就业、住房保障、涉农补贴等民生支出情况说明</w:t>
      </w:r>
      <w:bookmarkEnd w:id="29"/>
    </w:p>
    <w:p>
      <w:pPr>
        <w:spacing w:line="600" w:lineRule="exact"/>
        <w:jc w:val="both"/>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天津经济技术开发区科技创新局不属于乡、镇、街级单位，不涉及公开2025年度教育、医疗卫生、社会保障和就业、住房保障、涉农补贴等民生支出情况。</w:t>
      </w:r>
    </w:p>
    <w:p>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r>
    </w:p>
    <w:p>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30" w:name="_Toc19733"/>
      <w:r>
        <w:rPr>
          <w:rFonts w:hint="eastAsia" w:ascii="方正小标宋简体" w:hAnsi="方正小标宋简体" w:eastAsia="方正小标宋简体" w:cs="方正小标宋简体"/>
          <w:b w:val="0"/>
          <w:lang w:val="en-US" w:eastAsia="zh-CN"/>
        </w:rPr>
        <w:t>第四部分  名词解释</w:t>
      </w:r>
      <w:bookmarkEnd w:id="30"/>
    </w:p>
    <w:p>
      <w:pPr>
        <w:pStyle w:val="5"/>
        <w:spacing w:before="0" w:after="0" w:line="600" w:lineRule="exact"/>
        <w:jc w:val="center"/>
        <w:rPr>
          <w:rFonts w:hint="eastAsia" w:ascii="方正小标宋简体" w:hAnsi="方正小标宋简体" w:eastAsia="方正小标宋简体" w:cs="方正小标宋简体"/>
          <w:b w:val="0"/>
          <w:sz w:val="44"/>
          <w:szCs w:val="44"/>
          <w:highlight w:val="none"/>
        </w:rPr>
      </w:pP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decorative"/>
    <w:pitch w:val="default"/>
    <w:sig w:usb0="800002BF" w:usb1="38CF7CFA"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w:pict>
        <v:shape id="文本框 26"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v:imagedata o:title=""/>
          <o:lock v:ext="edit" aspectratio="f"/>
          <v:textbox inset="0mm,0mm,0mm,0mm" style="mso-fit-shape-to-text:t;">
            <w:txbxContent>
              <w:p>
                <w:pPr>
                  <w:pStyle w:val="17"/>
                </w:pPr>
                <w:r>
                  <w:fldChar w:fldCharType="begin"/>
                </w:r>
                <w:r>
                  <w:instrText xml:space="preserve"> PAGE  \* MERGEFORMAT </w:instrText>
                </w:r>
                <w:r>
                  <w:fldChar w:fldCharType="separate"/>
                </w:r>
                <w:r>
                  <w:t>5</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w:pict>
        <v:shape id="文本框 27" o:spid="_x0000_s205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1.25pt"/>
          <v:imagedata o:title=""/>
          <o:lock v:ext="edit" aspectratio="f"/>
          <v:textbox inset="0mm,0mm,0mm,0mm" style="mso-fit-shape-to-text:t;">
            <w:txbxContent>
              <w:p>
                <w:pPr>
                  <w:pStyle w:val="17"/>
                </w:pPr>
                <w:r>
                  <w:fldChar w:fldCharType="begin"/>
                </w:r>
                <w:r>
                  <w:instrText xml:space="preserve"> PAGE  \* MERGEFORMAT </w:instrText>
                </w:r>
                <w:r>
                  <w:fldChar w:fldCharType="separate"/>
                </w:r>
                <w:r>
                  <w:t>9</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w:pict>
        <v:shape id="文本框 28" o:spid="_x0000_s205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v:imagedata o:title=""/>
          <o:lock v:ext="edit" aspectratio="f"/>
          <v:textbox inset="0mm,0mm,0mm,0mm" style="mso-fit-shape-to-text:t;">
            <w:txbxContent>
              <w:p>
                <w:pPr>
                  <w:pStyle w:val="17"/>
                </w:pPr>
                <w:r>
                  <w:fldChar w:fldCharType="begin"/>
                </w:r>
                <w:r>
                  <w:instrText xml:space="preserve"> PAGE  \* MERGEFORMAT </w:instrText>
                </w:r>
                <w:r>
                  <w:fldChar w:fldCharType="separate"/>
                </w:r>
                <w:r>
                  <w:t>23</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w:pict>
        <v:shape id="文本框 7" o:spid="_x0000_s2052"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weight="1.25pt"/>
          <v:imagedata o:title=""/>
          <o:lock v:ext="edit" aspectratio="f"/>
          <v:textbox inset="0mm,0mm,0mm,0mm" style="mso-fit-shape-to-text:t;">
            <w:txbxContent>
              <w:p>
                <w:pPr>
                  <w:pStyle w:val="17"/>
                </w:pPr>
                <w:r>
                  <w:fldChar w:fldCharType="begin"/>
                </w:r>
                <w:r>
                  <w:instrText xml:space="preserve"> PAGE  \* MERGEFORMAT </w:instrText>
                </w:r>
                <w:r>
                  <w:fldChar w:fldCharType="separate"/>
                </w:r>
                <w:r>
                  <w:t>32</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bordersDoNotSurroundHeader w:val="0"/>
  <w:bordersDoNotSurroundFooter w:val="0"/>
  <w:doNotTrackMoves/>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OTM0ZDdjZmNhMDU3OGRjODI0Y2FhODMxNDQzMzM1NjMifQ=="/>
  </w:docVars>
  <w:rsids>
    <w:rsidRoot w:val="00000000"/>
    <w:rsid w:val="BEED76F6"/>
    <w:rsid w:val="FAFAD80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4">
    <w:name w:val="Default Paragraph Font"/>
    <w:unhideWhenUsed/>
    <w:qFormat/>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
    <w:name w:val="标题 11"/>
    <w:basedOn w:val="1"/>
    <w:next w:val="1"/>
    <w:link w:val="9"/>
    <w:qFormat/>
    <w:uiPriority w:val="9"/>
    <w:pPr>
      <w:keepNext/>
      <w:keepLines/>
      <w:spacing w:before="340" w:after="330" w:line="578" w:lineRule="atLeast"/>
      <w:outlineLvl w:val="0"/>
    </w:pPr>
    <w:rPr>
      <w:b/>
      <w:bCs/>
      <w:kern w:val="44"/>
      <w:sz w:val="44"/>
      <w:szCs w:val="44"/>
    </w:rPr>
  </w:style>
  <w:style w:type="paragraph" w:customStyle="1" w:styleId="6">
    <w:name w:val="标题 21"/>
    <w:basedOn w:val="1"/>
    <w:next w:val="1"/>
    <w:link w:val="10"/>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7">
    <w:name w:val="标题 31"/>
    <w:basedOn w:val="1"/>
    <w:next w:val="1"/>
    <w:link w:val="11"/>
    <w:unhideWhenUsed/>
    <w:qFormat/>
    <w:uiPriority w:val="9"/>
    <w:pPr>
      <w:keepNext/>
      <w:keepLines/>
      <w:spacing w:before="260" w:after="260" w:line="416" w:lineRule="atLeast"/>
      <w:outlineLvl w:val="2"/>
    </w:pPr>
    <w:rPr>
      <w:b/>
      <w:bCs/>
      <w:sz w:val="32"/>
      <w:szCs w:val="32"/>
    </w:rPr>
  </w:style>
  <w:style w:type="table" w:customStyle="1" w:styleId="8">
    <w:name w:val="普通表格11"/>
    <w:unhideWhenUsed/>
    <w:qFormat/>
    <w:uiPriority w:val="99"/>
    <w:tblPr>
      <w:tblCellMar>
        <w:top w:w="0" w:type="dxa"/>
        <w:left w:w="108" w:type="dxa"/>
        <w:bottom w:w="0" w:type="dxa"/>
        <w:right w:w="108" w:type="dxa"/>
      </w:tblCellMar>
    </w:tblPr>
  </w:style>
  <w:style w:type="character" w:customStyle="1" w:styleId="9">
    <w:name w:val="标题 1 Char"/>
    <w:link w:val="5"/>
    <w:qFormat/>
    <w:uiPriority w:val="9"/>
    <w:rPr>
      <w:b/>
      <w:bCs/>
      <w:kern w:val="44"/>
      <w:sz w:val="44"/>
      <w:szCs w:val="44"/>
    </w:rPr>
  </w:style>
  <w:style w:type="character" w:customStyle="1" w:styleId="10">
    <w:name w:val="标题 2 Char"/>
    <w:link w:val="6"/>
    <w:semiHidden/>
    <w:qFormat/>
    <w:uiPriority w:val="9"/>
    <w:rPr>
      <w:rFonts w:ascii="Cambria" w:hAnsi="Cambria" w:eastAsia="宋体" w:cs="Times New Roman"/>
      <w:b/>
      <w:bCs/>
      <w:sz w:val="32"/>
      <w:szCs w:val="32"/>
    </w:rPr>
  </w:style>
  <w:style w:type="character" w:customStyle="1" w:styleId="11">
    <w:name w:val="标题 3 Char"/>
    <w:link w:val="7"/>
    <w:semiHidden/>
    <w:qFormat/>
    <w:uiPriority w:val="9"/>
    <w:rPr>
      <w:b/>
      <w:bCs/>
      <w:sz w:val="32"/>
      <w:szCs w:val="32"/>
    </w:rPr>
  </w:style>
  <w:style w:type="paragraph" w:customStyle="1" w:styleId="12">
    <w:name w:val="正文文本缩进1"/>
    <w:basedOn w:val="1"/>
    <w:next w:val="13"/>
    <w:unhideWhenUsed/>
    <w:qFormat/>
    <w:uiPriority w:val="99"/>
    <w:pPr>
      <w:spacing w:after="120"/>
      <w:ind w:left="420" w:leftChars="200"/>
      <w:jc w:val="left"/>
    </w:pPr>
    <w:rPr>
      <w:rFonts w:ascii="宋体" w:hAnsi="宋体" w:cs="宋体"/>
      <w:kern w:val="0"/>
      <w:sz w:val="24"/>
      <w:lang w:val="en-US" w:eastAsia="zh-CN"/>
    </w:rPr>
  </w:style>
  <w:style w:type="paragraph" w:customStyle="1" w:styleId="13">
    <w:name w:val="正文首行缩进 21"/>
    <w:basedOn w:val="12"/>
    <w:next w:val="1"/>
    <w:unhideWhenUsed/>
    <w:qFormat/>
    <w:uiPriority w:val="99"/>
    <w:pPr>
      <w:ind w:left="420" w:firstLine="420" w:firstLineChars="200"/>
      <w:jc w:val="left"/>
    </w:pPr>
    <w:rPr>
      <w:lang w:val="en-US" w:eastAsia="zh-CN"/>
    </w:rPr>
  </w:style>
  <w:style w:type="paragraph" w:customStyle="1" w:styleId="14">
    <w:name w:val="目录 31"/>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customStyle="1" w:styleId="15">
    <w:name w:val="批注框文本1"/>
    <w:basedOn w:val="1"/>
    <w:link w:val="16"/>
    <w:unhideWhenUsed/>
    <w:qFormat/>
    <w:uiPriority w:val="99"/>
    <w:pPr>
      <w:spacing w:line="240" w:lineRule="auto"/>
    </w:pPr>
    <w:rPr>
      <w:sz w:val="18"/>
      <w:szCs w:val="18"/>
    </w:rPr>
  </w:style>
  <w:style w:type="character" w:customStyle="1" w:styleId="16">
    <w:name w:val="批注框文本 Char"/>
    <w:link w:val="15"/>
    <w:semiHidden/>
    <w:qFormat/>
    <w:uiPriority w:val="99"/>
    <w:rPr>
      <w:sz w:val="18"/>
      <w:szCs w:val="18"/>
    </w:rPr>
  </w:style>
  <w:style w:type="paragraph" w:customStyle="1" w:styleId="17">
    <w:name w:val="页脚1"/>
    <w:basedOn w:val="1"/>
    <w:link w:val="18"/>
    <w:unhideWhenUsed/>
    <w:qFormat/>
    <w:uiPriority w:val="0"/>
    <w:pPr>
      <w:tabs>
        <w:tab w:val="center" w:pos="4153"/>
        <w:tab w:val="right" w:pos="8306"/>
      </w:tabs>
      <w:snapToGrid w:val="0"/>
      <w:spacing w:line="240" w:lineRule="atLeast"/>
    </w:pPr>
    <w:rPr>
      <w:sz w:val="18"/>
      <w:szCs w:val="18"/>
    </w:rPr>
  </w:style>
  <w:style w:type="character" w:customStyle="1" w:styleId="18">
    <w:name w:val="页脚 Char"/>
    <w:link w:val="17"/>
    <w:semiHidden/>
    <w:qFormat/>
    <w:uiPriority w:val="0"/>
    <w:rPr>
      <w:sz w:val="18"/>
      <w:szCs w:val="18"/>
    </w:rPr>
  </w:style>
  <w:style w:type="paragraph" w:customStyle="1" w:styleId="19">
    <w:name w:val="页眉1"/>
    <w:basedOn w:val="1"/>
    <w:link w:val="20"/>
    <w:unhideWhenUsed/>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20">
    <w:name w:val="页眉 Char"/>
    <w:link w:val="19"/>
    <w:semiHidden/>
    <w:qFormat/>
    <w:uiPriority w:val="0"/>
    <w:rPr>
      <w:sz w:val="18"/>
      <w:szCs w:val="18"/>
    </w:rPr>
  </w:style>
  <w:style w:type="paragraph" w:customStyle="1" w:styleId="21">
    <w:name w:val="目录 1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customStyle="1" w:styleId="22">
    <w:name w:val="脚注文本1"/>
    <w:basedOn w:val="1"/>
    <w:next w:val="13"/>
    <w:semiHidden/>
    <w:qFormat/>
    <w:uiPriority w:val="0"/>
    <w:pPr>
      <w:snapToGrid w:val="0"/>
      <w:jc w:val="left"/>
    </w:pPr>
    <w:rPr>
      <w:sz w:val="18"/>
      <w:szCs w:val="18"/>
      <w:lang w:val="en-US" w:eastAsia="zh-CN"/>
    </w:rPr>
  </w:style>
  <w:style w:type="paragraph" w:customStyle="1" w:styleId="23">
    <w:name w:val="目录 21"/>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paragraph" w:customStyle="1" w:styleId="24">
    <w:name w:val="普通(网站)1"/>
    <w:basedOn w:val="1"/>
    <w:unhideWhenUsed/>
    <w:qFormat/>
    <w:uiPriority w:val="99"/>
    <w:rPr>
      <w:sz w:val="24"/>
    </w:rPr>
  </w:style>
  <w:style w:type="character" w:customStyle="1" w:styleId="25">
    <w:name w:val="超链接1"/>
    <w:unhideWhenUsed/>
    <w:qFormat/>
    <w:uiPriority w:val="99"/>
    <w:rPr>
      <w:color w:val="0000FF"/>
      <w:u w:val="single"/>
    </w:rPr>
  </w:style>
  <w:style w:type="paragraph" w:customStyle="1" w:styleId="26">
    <w:name w:val="TOC 标题"/>
    <w:basedOn w:val="5"/>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character" w:customStyle="1" w:styleId="27">
    <w:name w:val="font41"/>
    <w:basedOn w:val="4"/>
    <w:qFormat/>
    <w:uiPriority w:val="0"/>
    <w:rPr>
      <w:rFonts w:hint="eastAsia" w:ascii="宋体" w:hAnsi="宋体" w:eastAsia="宋体" w:cs="宋体"/>
      <w:color w:val="000000"/>
      <w:sz w:val="20"/>
      <w:szCs w:val="20"/>
      <w:u w:val="none"/>
    </w:rPr>
  </w:style>
  <w:style w:type="character" w:customStyle="1" w:styleId="28">
    <w:name w:val="font11"/>
    <w:basedOn w:val="4"/>
    <w:qFormat/>
    <w:uiPriority w:val="0"/>
    <w:rPr>
      <w:rFonts w:hint="eastAsia" w:ascii="宋体" w:hAnsi="宋体" w:eastAsia="宋体" w:cs="宋体"/>
      <w:color w:val="000000"/>
      <w:sz w:val="22"/>
      <w:szCs w:val="22"/>
      <w:u w:val="none"/>
    </w:rPr>
  </w:style>
  <w:style w:type="table" w:customStyle="1" w:styleId="29">
    <w:name w:val="普通表格1"/>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49"/>
    <customShpInfo spid="_x0000_s2050"/>
    <customShpInfo spid="_x0000_s2051"/>
    <customShpInfo spid="_x0000_s2052"/>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2052-12.1.0.28043</vt:lpwstr>
  </property>
  <property xmlns="http://schemas.openxmlformats.org/officeDocument/2006/custom-properties" pid="3" name="ICV" fmtid="{D5CDD505-2E9C-101B-9397-08002B2CF9AE}">
    <vt:lpwstr xmlns:vt="http://schemas.openxmlformats.org/officeDocument/2006/docPropsVTypes">A5A403E1C15441A0A57FA6556FC3E287_13</vt:lpwstr>
  </property>
  <property xmlns="http://schemas.openxmlformats.org/officeDocument/2006/custom-properties" pid="4" name="KSOTemplateDocerSaveRecord" fmtid="{D5CDD505-2E9C-101B-9397-08002B2CF9AE}">
    <vt:lpwstr xmlns:vt="http://schemas.openxmlformats.org/officeDocument/2006/docPropsVTypes">eyJoZGlkIjoiMGMwOGFkMDkyMGVjOWVjMzc0YjBmOTUwNDI2MGMxYmMiLCJ1c2VySWQiOiI4ODc2NjQ3MTcifQ_x003D__x003D_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9b8108-07ec-4970-af6c-ac6e2af68eb9}">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35</Pages>
  <Words>3930</Words>
  <Characters>23360</Characters>
  <Lines>60</Lines>
  <Paragraphs>16</Paragraphs>
  <TotalTime>14</TotalTime>
  <ScaleCrop>false</ScaleCrop>
  <LinksUpToDate>false</LinksUpToDate>
  <CharactersWithSpaces>23943</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2019-07-28T02:37:00Z</dcterms:created>
  <dc:creator>Administrator</dc:creator>
  <cp:lastModifiedBy>kylin</cp:lastModifiedBy>
  <cp:lastPrinted>2025-06-25T15:52:00Z</cp:lastPrinted>
  <dcterms:modified xsi:type="dcterms:W3CDTF">2026-09-14T08:56:54Z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