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天津经济技术开发区管理委员会机关公共事务中心</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8</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22</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负责党委、管委会后勤服务保障工作；负责党委、管委会公务用车管理工作；负责本领域范围内的安全生产管理工作；贯彻落实本部门全面从严治党主体责任，严格落实基层党建工作任务，发挥党组织战斗堡垒作用和党员先锋模范作用；承办党委、管委会交办的其他事项</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天津经济技术开发区管理委员会机关公共事务中心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部门本级（内设4个职能科室）。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天津经济技术开发区管理委员会机关公共事务中心</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49438343.75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49438343.75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49438343.75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49438343.75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49438343.75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49438343.75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天津经济技术开发区管理委员会机关公共事务中心</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49438343.75</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49438343.75</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一般公共服务支出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49438343.75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49438343.75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政府办公厅（室）及相关机构事务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49438343.75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49438343.75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一般行政管理事务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37144870.40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37144870.40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2010350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事业运行</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12293473.35</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12293473.35</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天津经济技术开发区管理委员会机关公共事务中心</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49438343.75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49438343.75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49438343.75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678201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天津经济技术开发区管理委员会机关公共事务中心</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49438343.75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49438343.75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49438343.75</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天津经济技术开发区管理委员会机关公共事务中心</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678201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天津经济技术开发区管理委员会机关公共事务中心</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天津经济技术开发区管理委员会机关公共事务中心</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49438343.75</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12293473.35</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37144870.40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一般公共服务支出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49438343.75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12293473.35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37144870.40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政府办公厅（室）及相关机构事务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49438343.75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12293473.35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37144870.40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一般行政管理事务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37144870.40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37144870.40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2010350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事业运行</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12293473.35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12293473.35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天津经济技术开发区管理委员会机关公共事务中心</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49438343.75</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天津经济技术开发区管理委员会机关公共事务中心</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49438343.75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12293473.35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11921710.61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371762.74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37144870.40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一般公共服务支出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49438343.75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12293473.35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11921710.61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371762.74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37144870.40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政府办公厅（室）及相关机构事务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49438343.75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12293473.35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11921710.61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371762.74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37144870.40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一般行政管理事务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37144870.40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37144870.40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2010350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事业运行</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12293473.35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12293473.35</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11921710.61</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371762.74</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天津经济技术开发区管理委员会机关公共事务中心</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11921710.61</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371762.74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2323423.84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124200.70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5401743.54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3315.00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8750.00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603961.60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301980.80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377476.00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28006.83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2885118.00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9600.00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159490.00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66407.04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11921710.61</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371762.74</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天津经济技术开发区管理委员会机关公共事务中心</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天津经济技术开发区管理委员会机关公共事务中心2025年度政府性基金预算财政拨款收入支出决算表为空表。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天津经济技术开发区管理委员会机关公共事务中心</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天津经济技术开发区管理委员会机关公共事务中心2025年度国有资本经营预算财政拨款收入支出决算表为空表。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天津经济技术开发区管理委员会机关公共事务中心</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天津经济技术开发区管理委员会机关公共事务中心2025年财政拨款“三公”经费支出决算表为空表。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天津经济技术开发区管理委员会机关公共事务中心</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37144870.40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37144870.40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一般公共服务支出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37144870.40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37144870.40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政府办公厅（室）及相关机构事务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37144870.40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37144870.40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2010302</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一般行政管理事务</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37144870.40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37144870.40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49,438,343.75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增加35,294,143.08元，增长249.53%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本年度较上年增加资产管理类项目</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一般公共预算财政拨款收入49,438,343.75元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一般公共服务支出49,438,343.75元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天津经济技术开发区管理委员会机关公共事务中心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49,438,343.75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增加35,294,143.08元，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本年度较上年增加资产管理类项目</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一般公共预算财政拨款收入49,438,343.75元，占100.00%</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天津经济技术开发区管理委员会机关公共事务中心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49,438,343.75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增加35,294,143.08元，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本年度较上年增加资产管理类项目</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基本支出12,293,473.35元，占24.87%；项目支出37,144,870.40元，占75.13%</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49,438,343.75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增加35,294,143.08元，增长249.53%，</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本年度较上年增加资产管理类项目</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一般公共预算财政拨款49,438,343.75元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一般公共服务支出49,438,343.75元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天津经济技术开发区管理委员会机关公共事务中心2025年度一般公共预算财政拨款支出合计49,438,343.75元，占本年支出合计的100.00%。与2024年度相比，一般公共预算财政拨款支出</w:t>
      </w:r>
      <w:r>
        <w:rPr>
          <w:rFonts w:eastAsia="仿宋_GB2312" w:hint="eastAsia"/>
          <w:sz w:val="30"/>
          <w:szCs w:val="30"/>
          <w:highlight w:val="none"/>
          <w:lang w:val="en-US" w:eastAsia="zh-CN"/>
        </w:rPr>
        <w:t xml:space="preserve">增加35,294,143.08元</w:t>
      </w:r>
      <w:r>
        <w:rPr>
          <w:rFonts w:eastAsia="仿宋_GB2312" w:hint="eastAsia"/>
          <w:sz w:val="30"/>
          <w:szCs w:val="30"/>
          <w:highlight w:val="none"/>
          <w:lang w:val="en-US" w:eastAsia="zh-CN"/>
        </w:rPr>
        <w:t xml:space="preserve">，增长249.53%</w:t>
      </w:r>
      <w:r>
        <w:rPr>
          <w:rFonts w:eastAsia="仿宋_GB2312" w:hint="eastAsia"/>
          <w:sz w:val="30"/>
          <w:szCs w:val="30"/>
          <w:highlight w:val="none"/>
          <w:lang w:val="en-US" w:eastAsia="zh-CN"/>
        </w:rPr>
        <w:t xml:space="preserve">，主要原因是本年度较上年增加资产管理类项目。</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2025年度一般公共预算财政拨款支出49,438,343.75元，主要用于以下方面：</w:t>
      </w:r>
      <w:r>
        <w:rPr>
          <w:rFonts w:eastAsia="仿宋_GB2312" w:hint="eastAsia"/>
          <w:sz w:val="30"/>
          <w:szCs w:val="30"/>
          <w:highlight w:val="none"/>
        </w:rPr>
        <w:t xml:space="preserve">一般公共服务支出（类）支出49,438,343.75元，占100.00%</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2025年度一般公共预算财政拨款支出年初预算为14,988,800.00元，支出决算为49,438,343.75元</w:t>
      </w:r>
      <w:r>
        <w:rPr>
          <w:rFonts w:eastAsia="仿宋_GB2312" w:hint="eastAsia"/>
          <w:sz w:val="30"/>
          <w:szCs w:val="30"/>
          <w:highlight w:val="none"/>
          <w:lang w:val="en-US" w:eastAsia="zh-CN"/>
        </w:rPr>
        <w:t xml:space="preserve">，完成年初预算的329.84%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一般公共服务支出（类）政府办公厅（室）及相关机构事务（款）一般行政管理事务（项）年初预算为0.00元，支出决算为37,144,870.40元，决算数大于年初预算数的主要原因是：年中追加资产管理专项经费预算并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一般公共服务支出（类）政府办公厅（室）及相关机构事务（款）事业运行（项）年初预算为14,988,800.00元，支出决算为12,293,473.35元，完成年初预算的82.02%，决算数小于年初预算数的主要原因是：人员调动，相应费用减少。</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天津经济技术开发区管理委员会机关公共事务中心2025年度一般公共预算财政拨款基本支出合计12,293,473.35元，与2024年度相比</w:t>
      </w:r>
      <w:r>
        <w:rPr>
          <w:rFonts w:eastAsia="仿宋_GB2312" w:hint="eastAsia"/>
          <w:sz w:val="30"/>
          <w:szCs w:val="30"/>
          <w:highlight w:val="none"/>
          <w:lang w:val="en-US" w:eastAsia="zh-CN"/>
        </w:rPr>
        <w:t xml:space="preserve">减少1,850,727.32元，</w:t>
      </w:r>
      <w:r>
        <w:rPr>
          <w:rFonts w:eastAsia="仿宋_GB2312" w:hint="eastAsia"/>
          <w:sz w:val="30"/>
          <w:szCs w:val="30"/>
          <w:highlight w:val="none"/>
          <w:lang w:val="en-US" w:eastAsia="zh-CN"/>
        </w:rPr>
        <w:t xml:space="preserve">主要原因是人员调动，相应费用减少。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人员经费11,921,710.61元，主要包括</w:t>
      </w:r>
      <w:r>
        <w:rPr>
          <w:rFonts w:eastAsia="仿宋_GB2312" w:hint="eastAsia"/>
          <w:sz w:val="30"/>
          <w:szCs w:val="30"/>
          <w:highlight w:val="none"/>
          <w:lang w:val="en-US" w:eastAsia="zh-CN"/>
        </w:rPr>
        <w:t xml:space="preserve">基本工资、津贴补贴、机关事业单位基本养老保险缴费、职业年金缴费、职工基本医疗保险缴费、其他社会保障缴费、住房公积金</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公用经费371,762.74元，主要包括</w:t>
      </w:r>
      <w:r>
        <w:rPr>
          <w:rFonts w:eastAsia="仿宋_GB2312" w:hint="eastAsia"/>
          <w:sz w:val="30"/>
          <w:szCs w:val="30"/>
          <w:highlight w:val="none"/>
          <w:lang w:val="en-US" w:eastAsia="zh-CN"/>
        </w:rPr>
        <w:t xml:space="preserve">办公费、手续费、水费、维修(护)费、其他交通费用、其他商品和服务支出</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天津经济技术开发区管理委员会机关公共事务中心2025年度无国有资产占有使用情况。</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天津经济技术开发区管理委员会机关公共事务中心已对1个2025年度区级项目开展绩效自评，涉及金额38,832,301.00元，自评结果已随部门决算一并公开。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天津经济技术开发区管理委员会机关公共事务中心不属于乡、镇、街级单位，不涉及公开2025年度教育、医疗卫生、社会保障和就业、住房保障、涉农补贴等民生支出情况。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D417B533-AAF4-4A1E-960C-849133F68D5F}"/>
    <w:embedBold r:id="rId2" w:subsetted="1" w:fontKey="{AB9E49E5-788A-4F8F-8BE0-682EC066E086}"/>
  </w:font>
  <w:font w:name="Cambria">
    <w:panose1 w:val="02040503050406030204"/>
    <w:charset w:val="00"/>
    <w:family w:val="roman"/>
    <w:pitch w:val="default"/>
    <w:sig w:usb0="E00006FF" w:usb1="420024FF" w:usb2="02000000" w:usb3="00000000" w:csb0="2000019F" w:csb1="00000000"/>
    <w:embedRegular r:id="rId3" w:fontKey="{3B1EFF09-7B76-4539-A466-B85A7FA870ED}"/>
  </w:font>
  <w:font w:name="Calibri">
    <w:panose1 w:val="020F0502020204030204"/>
    <w:charset w:val="00"/>
    <w:family w:val="swiss"/>
    <w:pitch w:val="default"/>
    <w:sig w:usb0="E4002EFF" w:usb1="C200247B" w:usb2="00000009" w:usb3="00000000" w:csb0="200001FF" w:csb1="00000000"/>
    <w:embedRegular r:id="rId4" w:fontKey="{E7ACDF8A-83B9-4EE7-AC64-1221BF8222EA}"/>
  </w:font>
  <w:font w:name="黑体">
    <w:panose1 w:val="02010609060101010101"/>
    <w:charset w:val="FFFFFF86"/>
    <w:family w:val="auto"/>
    <w:pitch w:val="default"/>
    <w:sig w:usb0="800002BF" w:usb1="38CF7CFA" w:usb2="00000016" w:usb3="00000000" w:csb0="00040001" w:csb1="00000000"/>
    <w:embedRegular r:id="rId5" w:subsetted="1" w:fontKey="{682AB35B-96FA-42CF-8F2B-AF52E5A8E8DC}"/>
    <w:embedBold r:id="rId6" w:subsetted="1" w:fontKey="{8666410E-527F-42C6-9D9D-F7F5C893A06C}"/>
  </w:font>
  <w:font w:name="方正小标宋简体">
    <w:altName w:val="黑体"/>
    <w:panose1 w:val="02000000000000000000"/>
    <w:charset w:val="FFFFFF86"/>
    <w:family w:val="auto"/>
    <w:pitch w:val="default"/>
    <w:sig w:usb0="00000001" w:usb1="08000000" w:usb2="00000000" w:usb3="00000000" w:csb0="00040000" w:csb1="00000000"/>
    <w:embedRegular r:id="rId7" w:fontKey="{BBF7BF8C-963E-42D6-B5FC-0C8C312B030E}"/>
    <w:embedBold r:id="rId8" w:fontKey="{D0DBA8B2-0978-473E-BA02-CF96643B53ED}"/>
  </w:font>
  <w:font w:name="仿宋">
    <w:panose1 w:val="02010609060101010101"/>
    <w:charset w:val="FFFFFF86"/>
    <w:family w:val="auto"/>
    <w:pitch w:val="default"/>
    <w:sig w:usb0="800002BF" w:usb1="38CF7CFA" w:usb2="00000016" w:usb3="00000000" w:csb0="00040001" w:csb1="00000000"/>
    <w:embedRegular r:id="rId9" w:subsetted="1" w:fontKey="{2395343B-3A71-4C56-A2C1-A86E0FBE6877}"/>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3948E138-BCBE-4652-A366-3727811432BF}"/>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7939AB48-7493-4A2F-8F06-4DCACE9C0973}"/>
    <w:embedBold r:id="rId12" w:subsetted="1" w:fontKey="{6D4B5600-EC42-4CBD-A507-9DB8946A879F}"/>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2026-08-26T09:05:51Z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