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v:background id="_x0000_s1025" filled="t" fillcolor="white">
      <v:fill color2="white"/>
    </v:background>
  </w:background>
  <w:body>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240" w:lineRule="auto"/>
        <w:jc w:val="center"/>
        <w:rPr>
          <w:rFonts w:ascii="方正小标宋简体" w:eastAsia="方正小标宋简体" w:hAnsi="方正小标宋简体" w:cs="方正小标宋简体" w:hint="eastAsia"/>
          <w:sz w:val="48"/>
          <w:szCs w:val="48"/>
          <w:highlight w:val="none"/>
          <w:lang w:val="en-US" w:eastAsia="zh-CN"/>
        </w:rPr>
      </w:pPr>
      <w:r>
        <w:rPr>
          <w:rFonts w:ascii="方正小标宋简体" w:eastAsia="方正小标宋简体" w:hAnsi="方正小标宋简体" w:cs="方正小标宋简体" w:hint="eastAsia"/>
          <w:sz w:val="48"/>
          <w:szCs w:val="48"/>
          <w:highlight w:val="none"/>
          <w:lang w:val="en-US" w:eastAsia="zh-CN"/>
        </w:rPr>
        <w:t xml:space="preserve">天津经济技术开发区统计调查中心</w:t>
      </w:r>
    </w:p>
    <w:p>
      <w:pPr>
        <w:divId w:val="0"/>
        <w:spacing w:line="240" w:lineRule="auto"/>
        <w:jc w:val="center"/>
        <w:rPr>
          <w:rFonts w:ascii="方正小标宋简体" w:eastAsia="方正小标宋简体" w:hAnsi="方正小标宋简体" w:cs="方正小标宋简体" w:hint="eastAsia"/>
          <w:w w:val="95"/>
          <w:sz w:val="48"/>
          <w:szCs w:val="48"/>
          <w:highlight w:val="none"/>
        </w:rPr>
      </w:pPr>
      <w:r>
        <w:rPr>
          <w:rFonts w:ascii="方正小标宋简体" w:eastAsia="方正小标宋简体" w:hAnsi="方正小标宋简体" w:cs="方正小标宋简体" w:hint="eastAsia"/>
          <w:sz w:val="48"/>
          <w:szCs w:val="48"/>
          <w:highlight w:val="none"/>
          <w:lang w:eastAsia="zh-CN"/>
        </w:rPr>
        <w:t xml:space="preserve">202</w:t>
      </w:r>
      <w:r>
        <w:rPr>
          <w:rFonts w:ascii="方正小标宋简体" w:eastAsia="方正小标宋简体" w:hAnsi="方正小标宋简体" w:cs="方正小标宋简体" w:hint="eastAsia"/>
          <w:sz w:val="48"/>
          <w:szCs w:val="48"/>
          <w:highlight w:val="none"/>
          <w:lang w:val="en-US" w:eastAsia="zh-CN"/>
        </w:rPr>
        <w:t xml:space="preserve">5</w:t>
      </w:r>
      <w:r>
        <w:rPr>
          <w:rFonts w:ascii="方正小标宋简体" w:eastAsia="方正小标宋简体" w:hAnsi="方正小标宋简体" w:cs="方正小标宋简体" w:hint="eastAsia"/>
          <w:sz w:val="48"/>
          <w:szCs w:val="48"/>
          <w:highlight w:val="none"/>
        </w:rPr>
        <w:t xml:space="preserve">年度部门决算</w:t>
      </w: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600" w:lineRule="exact"/>
        <w:jc w:val="center"/>
        <w:rPr>
          <w:rFonts w:ascii="黑体" w:eastAsia="黑体" w:hint="eastAsia"/>
          <w:sz w:val="44"/>
          <w:szCs w:val="44"/>
          <w:highlight w:val="none"/>
        </w:rPr>
        <w:sectPr>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start="1"/>
          <w:textDirection w:val="lrTb"/>
          <w:docGrid w:type="lines" w:linePitch="312"/>
        </w:sectPr>
      </w:pPr>
    </w:p>
    <w:p>
      <w:pPr>
        <w:divId w:val="0"/>
        <w:spacing w:line="600" w:lineRule="exact"/>
        <w:jc w:val="center"/>
        <w:rPr>
          <w:rFonts w:ascii="黑体" w:eastAsia="黑体" w:hint="eastAsia"/>
          <w:sz w:val="44"/>
          <w:szCs w:val="44"/>
          <w:highlight w:val="none"/>
        </w:rPr>
      </w:pPr>
    </w:p>
    <w:p>
      <w:pPr>
        <w:divId w:val="0"/>
        <w:spacing w:line="600" w:lineRule="exact"/>
        <w:jc w:val="center"/>
        <w:rPr>
          <w:rFonts w:ascii="黑体" w:eastAsia="黑体" w:hint="eastAsia"/>
          <w:sz w:val="44"/>
          <w:szCs w:val="44"/>
          <w:highlight w:val="none"/>
        </w:rPr>
      </w:pPr>
      <w:r>
        <w:rPr>
          <w:rFonts w:ascii="黑体" w:eastAsia="黑体" w:hint="eastAsia"/>
          <w:sz w:val="44"/>
          <w:szCs w:val="44"/>
          <w:highlight w:val="none"/>
        </w:rPr>
        <w:t xml:space="preserve">目</w:t>
      </w:r>
      <w:r>
        <w:rPr>
          <w:rFonts w:ascii="黑体" w:eastAsia="黑体" w:hint="eastAsia"/>
          <w:sz w:val="44"/>
          <w:szCs w:val="44"/>
          <w:highlight w:val="none"/>
        </w:rPr>
        <w:t xml:space="preserve">  </w:t>
      </w:r>
      <w:r>
        <w:rPr>
          <w:rFonts w:ascii="黑体" w:eastAsia="黑体" w:hint="eastAsia"/>
          <w:sz w:val="44"/>
          <w:szCs w:val="44"/>
          <w:highlight w:val="none"/>
        </w:rPr>
        <w:t xml:space="preserve"> </w:t>
      </w:r>
      <w:r>
        <w:rPr>
          <w:rFonts w:ascii="黑体" w:eastAsia="黑体" w:hint="eastAsia"/>
          <w:sz w:val="44"/>
          <w:szCs w:val="44"/>
          <w:highlight w:val="none"/>
        </w:rPr>
        <w:t xml:space="preserve">录</w:t>
      </w:r>
    </w:p>
    <w:p>
      <w:pPr>
        <w:divId w:val="0"/>
        <w:spacing w:line="600" w:lineRule="exact"/>
        <w:rPr>
          <w:rFonts w:ascii="黑体" w:eastAsia="黑体" w:hint="eastAsia"/>
          <w:sz w:val="30"/>
          <w:szCs w:val="30"/>
          <w:highlight w:val="none"/>
        </w:rPr>
      </w:pPr>
    </w:p>
    <w:p>
      <w:pPr>
        <w:pStyle w:val="目录1"/>
        <w:tabs>
          <w:tab w:val="clear" w:pos="8296"/>
          <w:tab w:val="right" w:leader="dot" w:pos="8306"/>
        </w:tabs>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TOC \o "1-3" \h \z \u</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第一部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概</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况</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default"/>
          <w:sz w:val="30"/>
          <w:szCs w:val="30"/>
          <w:highlight w:val="none"/>
          <w:lang w:val="en-US" w:eastAsia="zh-CN"/>
        </w:rPr>
        <w:fldChar w:fldCharType="begin"/>
      </w:r>
      <w:r>
        <w:rPr>
          <w:rFonts w:ascii="Times New Roman" w:eastAsia="方正小标宋简体" w:hAnsi="Times New Roman" w:cs="Times New Roman" w:hint="default"/>
          <w:sz w:val="30"/>
          <w:szCs w:val="30"/>
          <w:highlight w:val="none"/>
          <w:lang w:val="en-US" w:eastAsia="zh-CN"/>
        </w:rPr>
        <w:instrText xml:space="preserve"> PAGEREF _Toc31751 \h </w:instrText>
      </w:r>
      <w:r>
        <w:rPr>
          <w:rFonts w:ascii="Times New Roman" w:eastAsia="方正小标宋简体" w:hAnsi="Times New Roman" w:cs="Times New Roman" w:hint="default"/>
          <w:sz w:val="30"/>
          <w:szCs w:val="30"/>
          <w:highlight w:val="none"/>
          <w:lang w:val="en-US" w:eastAsia="zh-CN"/>
        </w:rPr>
        <w:fldChar w:fldCharType="separate"/>
      </w:r>
      <w:r>
        <w:rPr>
          <w:rFonts w:ascii="Times New Roman" w:eastAsia="方正小标宋简体" w:hAnsi="Times New Roman" w:cs="Times New Roman" w:hint="default"/>
          <w:sz w:val="30"/>
          <w:szCs w:val="30"/>
          <w:highlight w:val="none"/>
          <w:lang w:val="en-US" w:eastAsia="zh-CN"/>
        </w:rPr>
        <w:t xml:space="preserve">1</w:t>
      </w:r>
      <w:r>
        <w:rPr>
          <w:rFonts w:ascii="Times New Roman" w:eastAsia="方正小标宋简体" w:hAnsi="Times New Roman" w:cs="Times New Roman" w:hint="default"/>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240" w:firstLine="0" w:leftChars="100" w:firstLineChars="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一、主要职责</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default"/>
          <w:sz w:val="30"/>
          <w:szCs w:val="30"/>
          <w:highlight w:val="none"/>
          <w:lang w:val="en-US" w:eastAsia="zh-CN"/>
        </w:rPr>
        <w:fldChar w:fldCharType="begin"/>
      </w:r>
      <w:r>
        <w:rPr>
          <w:rFonts w:ascii="Times New Roman" w:eastAsia="方正小标宋简体" w:hAnsi="Times New Roman" w:cs="Times New Roman" w:hint="default"/>
          <w:sz w:val="30"/>
          <w:szCs w:val="30"/>
          <w:highlight w:val="none"/>
          <w:lang w:val="en-US" w:eastAsia="zh-CN"/>
        </w:rPr>
        <w:instrText xml:space="preserve"> PAGEREF _Toc957 \h </w:instrText>
      </w:r>
      <w:r>
        <w:rPr>
          <w:rFonts w:ascii="Times New Roman" w:eastAsia="方正小标宋简体" w:hAnsi="Times New Roman" w:cs="Times New Roman" w:hint="default"/>
          <w:sz w:val="30"/>
          <w:szCs w:val="30"/>
          <w:highlight w:val="none"/>
          <w:lang w:val="en-US" w:eastAsia="zh-CN"/>
        </w:rPr>
        <w:fldChar w:fldCharType="separate"/>
      </w:r>
      <w:r>
        <w:rPr>
          <w:rFonts w:ascii="Times New Roman" w:eastAsia="方正小标宋简体" w:hAnsi="Times New Roman" w:cs="Times New Roman" w:hint="default"/>
          <w:sz w:val="30"/>
          <w:szCs w:val="30"/>
          <w:highlight w:val="none"/>
          <w:lang w:val="en-US" w:eastAsia="zh-CN"/>
        </w:rPr>
        <w:t xml:space="preserve">1</w:t>
      </w:r>
      <w:r>
        <w:rPr>
          <w:rFonts w:ascii="Times New Roman" w:eastAsia="方正小标宋简体" w:hAnsi="Times New Roman" w:cs="Times New Roman" w:hint="default"/>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二、机构设置</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_Toc9641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第二部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202</w:t>
      </w:r>
      <w:r>
        <w:rPr>
          <w:rFonts w:ascii="方正小标宋简体" w:eastAsia="方正小标宋简体" w:hAnsi="方正小标宋简体" w:cs="方正小标宋简体" w:hint="eastAsia"/>
          <w:sz w:val="30"/>
          <w:szCs w:val="30"/>
          <w:highlight w:val="none"/>
          <w:lang w:val="en-US" w:eastAsia="zh-CN"/>
        </w:rPr>
        <w:t xml:space="preserve">5</w:t>
      </w:r>
      <w:r>
        <w:rPr>
          <w:rFonts w:ascii="方正小标宋简体" w:eastAsia="方正小标宋简体" w:hAnsi="方正小标宋简体" w:cs="方正小标宋简体" w:hint="eastAsia"/>
          <w:sz w:val="30"/>
          <w:szCs w:val="30"/>
          <w:highlight w:val="none"/>
          <w:lang w:val="en-US" w:eastAsia="zh-CN"/>
        </w:rPr>
        <w:t xml:space="preserve">年度部门决算表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_Toc22959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一、《收入支出决算总表》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_Toc24940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3</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二、《收入决算表（按功能分类列示）》</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_Toc19253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4</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三、《收入决算表（按单位列示）》</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_Toc1420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5</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四、《支出决算表》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_Toc16222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7</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五、《财政拨款收入支出决算总表》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default"/>
          <w:sz w:val="30"/>
          <w:szCs w:val="30"/>
          <w:highlight w:val="none"/>
          <w:lang w:val="en-US" w:eastAsia="zh-CN"/>
        </w:rPr>
        <w:fldChar w:fldCharType="begin"/>
      </w:r>
      <w:r>
        <w:rPr>
          <w:rFonts w:ascii="Times New Roman" w:eastAsia="方正小标宋简体" w:hAnsi="Times New Roman" w:cs="Times New Roman" w:hint="default"/>
          <w:sz w:val="30"/>
          <w:szCs w:val="30"/>
          <w:highlight w:val="none"/>
          <w:lang w:val="en-US" w:eastAsia="zh-CN"/>
        </w:rPr>
        <w:instrText xml:space="preserve"> PAGEREF _Toc10133 \h </w:instrText>
      </w:r>
      <w:r>
        <w:rPr>
          <w:rFonts w:ascii="Times New Roman" w:eastAsia="方正小标宋简体" w:hAnsi="Times New Roman" w:cs="Times New Roman" w:hint="default"/>
          <w:sz w:val="30"/>
          <w:szCs w:val="30"/>
          <w:highlight w:val="none"/>
          <w:lang w:val="en-US" w:eastAsia="zh-CN"/>
        </w:rPr>
        <w:fldChar w:fldCharType="separate"/>
      </w:r>
      <w:r>
        <w:rPr>
          <w:rFonts w:ascii="Times New Roman" w:eastAsia="方正小标宋简体" w:hAnsi="Times New Roman" w:cs="Times New Roman" w:hint="default"/>
          <w:sz w:val="30"/>
          <w:szCs w:val="30"/>
          <w:highlight w:val="none"/>
          <w:lang w:val="en-US" w:eastAsia="zh-CN"/>
        </w:rPr>
        <w:t xml:space="preserve">8</w:t>
      </w:r>
      <w:r>
        <w:rPr>
          <w:rFonts w:ascii="Times New Roman" w:eastAsia="方正小标宋简体" w:hAnsi="Times New Roman" w:cs="Times New Roman" w:hint="default"/>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六、《一般公共预算财政拨款支出决算表》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_Toc32088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10</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七、《一般公共预算财政拨款基本支出决算表》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_Toc8838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11</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八、《政府性基金预算财政拨款收入支出决算表》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_Toc2699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14</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九、《国有资本经营预算财政拨款收入支出决算表》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_Toc11009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15</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十、《财政拨</w:t>
      </w:r>
      <w:r>
        <w:rPr>
          <w:rFonts w:ascii="仿宋" w:eastAsia="仿宋" w:hAnsi="仿宋" w:cs="仿宋" w:hint="eastAsia"/>
          <w:bCs w:val="0"/>
          <w:sz w:val="30"/>
          <w:szCs w:val="30"/>
          <w:highlight w:val="none"/>
          <w:lang w:val="en-US" w:eastAsia="zh-CN" w:bidi="ar-SA"/>
        </w:rPr>
        <w:t xml:space="preserve">款</w:t>
      </w:r>
      <w:r>
        <w:rPr>
          <w:rFonts w:ascii="仿宋" w:eastAsia="仿宋" w:hAnsi="仿宋" w:cs="仿宋" w:hint="eastAsia"/>
          <w:bCs w:val="0"/>
          <w:sz w:val="30"/>
          <w:szCs w:val="30"/>
          <w:highlight w:val="none"/>
          <w:lang w:val="en-US" w:eastAsia="zh-CN" w:bidi="ar-SA"/>
        </w:rPr>
        <w:t xml:space="preserve">“</w:t>
      </w:r>
      <w:r>
        <w:rPr>
          <w:rFonts w:ascii="仿宋" w:eastAsia="仿宋" w:hAnsi="仿宋" w:cs="仿宋" w:hint="eastAsia"/>
          <w:bCs w:val="0"/>
          <w:sz w:val="30"/>
          <w:szCs w:val="30"/>
          <w:highlight w:val="none"/>
          <w:lang w:val="en-US" w:eastAsia="zh-CN" w:bidi="ar-SA"/>
        </w:rPr>
        <w:t xml:space="preserve">三</w:t>
      </w:r>
      <w:r>
        <w:rPr>
          <w:rFonts w:ascii="仿宋" w:eastAsia="仿宋" w:hAnsi="仿宋" w:cs="仿宋" w:hint="eastAsia"/>
          <w:bCs w:val="0"/>
          <w:sz w:val="30"/>
          <w:szCs w:val="30"/>
          <w:highlight w:val="none"/>
          <w:lang w:val="en-US" w:eastAsia="zh-CN" w:bidi="ar-SA"/>
        </w:rPr>
        <w:t xml:space="preserve">公</w:t>
      </w:r>
      <w:r>
        <w:rPr>
          <w:rFonts w:ascii="仿宋" w:eastAsia="仿宋" w:hAnsi="仿宋" w:cs="仿宋" w:hint="eastAsia"/>
          <w:bCs w:val="0"/>
          <w:sz w:val="30"/>
          <w:szCs w:val="30"/>
          <w:highlight w:val="none"/>
          <w:lang w:val="en-US" w:eastAsia="zh-CN" w:bidi="ar-SA"/>
        </w:rPr>
        <w:t xml:space="preserve">”</w:t>
      </w:r>
      <w:r>
        <w:rPr>
          <w:rFonts w:ascii="仿宋" w:eastAsia="仿宋" w:hAnsi="仿宋" w:cs="仿宋" w:hint="eastAsia"/>
          <w:bCs w:val="0"/>
          <w:sz w:val="30"/>
          <w:szCs w:val="30"/>
          <w:highlight w:val="none"/>
          <w:lang w:val="en-US" w:eastAsia="zh-CN" w:bidi="ar-SA"/>
        </w:rPr>
        <w:t xml:space="preserve">经费支出决算表》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_Toc25214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16</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十一、《项目支出决算表》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_Toc18972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17</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第三部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202</w:t>
      </w:r>
      <w:r>
        <w:rPr>
          <w:rFonts w:ascii="方正小标宋简体" w:eastAsia="方正小标宋简体" w:hAnsi="方正小标宋简体" w:cs="方正小标宋简体" w:hint="eastAsia"/>
          <w:sz w:val="30"/>
          <w:szCs w:val="30"/>
          <w:highlight w:val="none"/>
          <w:lang w:val="en-US" w:eastAsia="zh-CN"/>
        </w:rPr>
        <w:t xml:space="preserve">5</w:t>
      </w:r>
      <w:r>
        <w:rPr>
          <w:rFonts w:ascii="方正小标宋简体" w:eastAsia="方正小标宋简体" w:hAnsi="方正小标宋简体" w:cs="方正小标宋简体" w:hint="eastAsia"/>
          <w:sz w:val="30"/>
          <w:szCs w:val="30"/>
          <w:highlight w:val="none"/>
          <w:lang w:val="en-US" w:eastAsia="zh-CN"/>
        </w:rPr>
        <w:t xml:space="preserve">年度部门决算情况说明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_Toc7922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18</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一、收入支出决算总体情况说明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_Toc7052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18</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二、收入决算情况说明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_Toc6621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18</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三、支出决算情况说明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_Toc21049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18</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四、财政拨款收支决算总体情况说明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_Toc8231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19</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五、一般公共预算财政拨款支出决算情况说明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_Toc24201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19</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六、一般公共预算财政拨款基本支出决算情况说明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_Toc17234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20</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七、政府性基金预算财政拨款收支决算情况说明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_Toc11228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21</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八、国有资本经营预算财政拨款收支决算情况说明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_Toc2429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21</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九、财政拨</w:t>
      </w:r>
      <w:r>
        <w:rPr>
          <w:rFonts w:ascii="仿宋" w:eastAsia="仿宋" w:hAnsi="仿宋" w:cs="仿宋" w:hint="eastAsia"/>
          <w:bCs w:val="0"/>
          <w:sz w:val="30"/>
          <w:szCs w:val="30"/>
          <w:highlight w:val="none"/>
          <w:lang w:val="en-US" w:eastAsia="zh-CN" w:bidi="ar-SA"/>
        </w:rPr>
        <w:t xml:space="preserve">款</w:t>
      </w:r>
      <w:r>
        <w:rPr>
          <w:rFonts w:ascii="仿宋" w:eastAsia="仿宋" w:hAnsi="仿宋" w:cs="仿宋" w:hint="eastAsia"/>
          <w:bCs w:val="0"/>
          <w:sz w:val="30"/>
          <w:szCs w:val="30"/>
          <w:highlight w:val="none"/>
          <w:lang w:val="en-US" w:eastAsia="zh-CN" w:bidi="ar-SA"/>
        </w:rPr>
        <w:t xml:space="preserve">“</w:t>
      </w:r>
      <w:r>
        <w:rPr>
          <w:rFonts w:ascii="仿宋" w:eastAsia="仿宋" w:hAnsi="仿宋" w:cs="仿宋" w:hint="eastAsia"/>
          <w:bCs w:val="0"/>
          <w:sz w:val="30"/>
          <w:szCs w:val="30"/>
          <w:highlight w:val="none"/>
          <w:lang w:val="en-US" w:eastAsia="zh-CN" w:bidi="ar-SA"/>
        </w:rPr>
        <w:t xml:space="preserve">三</w:t>
      </w:r>
      <w:r>
        <w:rPr>
          <w:rFonts w:ascii="仿宋" w:eastAsia="仿宋" w:hAnsi="仿宋" w:cs="仿宋" w:hint="eastAsia"/>
          <w:bCs w:val="0"/>
          <w:sz w:val="30"/>
          <w:szCs w:val="30"/>
          <w:highlight w:val="none"/>
          <w:lang w:val="en-US" w:eastAsia="zh-CN" w:bidi="ar-SA"/>
        </w:rPr>
        <w:t xml:space="preserve">公</w:t>
      </w:r>
      <w:r>
        <w:rPr>
          <w:rFonts w:ascii="仿宋" w:eastAsia="仿宋" w:hAnsi="仿宋" w:cs="仿宋" w:hint="eastAsia"/>
          <w:bCs w:val="0"/>
          <w:sz w:val="30"/>
          <w:szCs w:val="30"/>
          <w:highlight w:val="none"/>
          <w:lang w:val="en-US" w:eastAsia="zh-CN" w:bidi="ar-SA"/>
        </w:rPr>
        <w:t xml:space="preserve">”</w:t>
      </w:r>
      <w:r>
        <w:rPr>
          <w:rFonts w:ascii="仿宋" w:eastAsia="仿宋" w:hAnsi="仿宋" w:cs="仿宋" w:hint="eastAsia"/>
          <w:bCs w:val="0"/>
          <w:sz w:val="30"/>
          <w:szCs w:val="30"/>
          <w:highlight w:val="none"/>
          <w:lang w:val="en-US" w:eastAsia="zh-CN" w:bidi="ar-SA"/>
        </w:rPr>
        <w:t xml:space="preserve">经费支出决算情况说明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_Toc22288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21</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十、机关运行经费支出情况说明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_Toc30303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22</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十一、政府采购支出情况说明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_Toc3597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23</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十二、国有资产占有使用情况说明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_Toc32039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23</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十三、预算绩效情况说明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_Toc2201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23</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十四、教育、医疗卫生、社会保障和就业、住房保障、涉农补贴等民生支出情况说明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_Toc10864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23</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第四部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名词解释</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_Toc19733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25</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rPr>
          <w:rFonts w:ascii="Times New Roman" w:eastAsia="方正仿宋_GB2312" w:hAnsi="Times New Roman"/>
          <w:sz w:val="32"/>
          <w:szCs w:val="32"/>
          <w:highlight w:val="none"/>
        </w:rPr>
        <w:sectPr>
          <w:footerReference w:type="default" r:id="rId4"/>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start="1"/>
          <w:textDirection w:val="lrTb"/>
          <w:docGrid w:type="lines" w:linePitch="312"/>
        </w:sectPr>
      </w:pPr>
      <w:r>
        <w:rPr>
          <w:rFonts w:ascii="方正小标宋简体" w:eastAsia="方正小标宋简体" w:hAnsi="方正小标宋简体" w:cs="方正小标宋简体" w:hint="eastAsia"/>
          <w:sz w:val="30"/>
          <w:szCs w:val="30"/>
          <w:highlight w:val="none"/>
          <w:lang w:val="en-US" w:eastAsia="zh-CN"/>
        </w:rPr>
        <w:fldChar w:fldCharType="end"/>
      </w:r>
    </w:p>
    <w:p>
      <w:pPr>
        <w:rPr>
          <w:rFonts w:hint="eastAsia"/>
          <w:highlight w:val="none"/>
        </w:rPr>
      </w:pPr>
    </w:p>
    <w:p>
      <w:pPr>
        <w:pStyle w:val="标题1"/>
        <w:spacing w:before="0" w:after="0" w:line="600" w:lineRule="exact"/>
        <w:jc w:val="center"/>
        <w:rPr>
          <w:rFonts w:ascii="方正小标宋简体" w:eastAsia="方正小标宋简体" w:hAnsi="方正小标宋简体" w:cs="方正小标宋简体" w:hint="eastAsia"/>
          <w:b w:val="0"/>
          <w:sz w:val="48"/>
          <w:szCs w:val="48"/>
          <w:highlight w:val="none"/>
        </w:rPr>
      </w:pPr>
    </w:p>
    <w:p>
      <w:pPr>
        <w:pStyle w:val="标题1"/>
        <w:spacing w:before="0" w:after="0" w:line="600" w:lineRule="exact"/>
        <w:jc w:val="center"/>
        <w:rPr>
          <w:rFonts w:ascii="方正小标宋简体" w:eastAsia="方正小标宋简体" w:hAnsi="方正小标宋简体" w:cs="方正小标宋简体"/>
          <w:b w:val="0"/>
          <w:sz w:val="44"/>
          <w:szCs w:val="44"/>
          <w:highlight w:val="none"/>
        </w:rPr>
      </w:pPr>
      <w:bookmarkStart w:id="0" w:name="_Toc31751"/>
      <w:r>
        <w:rPr>
          <w:rFonts w:ascii="方正小标宋简体" w:eastAsia="方正小标宋简体" w:hAnsi="方正小标宋简体" w:cs="方正小标宋简体" w:hint="eastAsia"/>
          <w:b w:val="0"/>
          <w:lang w:val="en-US" w:eastAsia="zh-CN"/>
        </w:rPr>
        <w:t xml:space="preserve">第一部分  概 况</w:t>
      </w:r>
      <w:bookmarkEnd w:id="0"/>
    </w:p>
    <w:p>
      <w:pPr>
        <w:divId w:val="0"/>
        <w:spacing w:line="600" w:lineRule="exact"/>
        <w:rPr>
          <w:rFonts w:hint="eastAsia"/>
          <w:highlight w:val="none"/>
        </w:rPr>
      </w:pPr>
    </w:p>
    <w:p>
      <w:pPr>
        <w:pStyle w:val="标题2"/>
        <w:wordWrap w:val="0"/>
        <w:spacing w:before="0" w:after="0" w:line="800" w:lineRule="exact"/>
        <w:ind w:firstLine="600" w:firstLineChars="200"/>
        <w:rPr>
          <w:rFonts w:ascii="黑体" w:eastAsia="黑体" w:hAnsi="黑体" w:hint="eastAsia"/>
          <w:b w:val="0"/>
          <w:bCs w:val="0"/>
          <w:sz w:val="30"/>
          <w:szCs w:val="30"/>
          <w:highlight w:val="none"/>
        </w:rPr>
      </w:pPr>
      <w:bookmarkStart w:id="1" w:name="_Toc957"/>
      <w:r>
        <w:rPr>
          <w:rFonts w:ascii="黑体" w:eastAsia="黑体" w:hAnsi="黑体" w:hint="eastAsia"/>
          <w:sz w:val="30"/>
          <w:szCs w:val="30"/>
          <w:lang w:val="en-US" w:eastAsia="zh-CN"/>
        </w:rPr>
        <w:t xml:space="preserve">一、主要职责</w:t>
      </w:r>
      <w:bookmarkEnd w:id="1"/>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天津经济技术开发区统计调查中心</w:t>
      </w:r>
      <w:r>
        <w:rPr>
          <w:rFonts w:eastAsia="仿宋_GB2312" w:hint="eastAsia"/>
          <w:sz w:val="30"/>
          <w:szCs w:val="30"/>
          <w:highlight w:val="none"/>
          <w:lang w:val="en-US" w:eastAsia="zh-CN"/>
        </w:rPr>
        <w:t xml:space="preserve">的主要职责是</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1、负责国民经济核算工作。2、负责组织实施第二、第三产业以及能源、劳动工资等专业统计调查及相关工作。3、开展统计方法制度研究工作，制订区域统计管理办法，规划和组织全区统计基础规范化工作。4、对接、协调各职能部门，收集、整理全区各项数据、信息，建立健全经济数据库体系，建设、维护经济运行大数据平台，对外提供经济数据及信息。5、组织实施本区经济领域重大国情国力普查和各项专项调查，对有关统计数据质量进行核查和评估，按照事权分工，配合泰达街开展社会类统计调查，负责统计基本单位名录库的维护和管理工作。6、负责组织统计法律、法规和规章的宣传、贯彻实施和监督检查，配合上级统计部门开展依法查处统计违法的行为和统计违法案件，及相关法律性事务。负责统计培训工作，对其他部门承担的统计工作进行指导、管理、协调和监督</w:t>
      </w:r>
      <w:r>
        <w:rPr>
          <w:rFonts w:eastAsia="仿宋_GB2312" w:hint="eastAsia"/>
          <w:sz w:val="30"/>
          <w:szCs w:val="30"/>
          <w:highlight w:val="none"/>
          <w:lang w:val="en-US" w:eastAsia="zh-CN"/>
        </w:rPr>
        <w:t xml:space="preserve">。</w:t>
      </w:r>
    </w:p>
    <w:p>
      <w:pPr>
        <w:pStyle w:val="标题2"/>
        <w:spacing w:before="0" w:after="0" w:line="600" w:lineRule="exact"/>
        <w:ind w:firstLine="600" w:firstLineChars="200"/>
        <w:rPr>
          <w:rFonts w:ascii="黑体" w:eastAsia="黑体" w:hAnsi="黑体" w:hint="eastAsia"/>
          <w:b w:val="0"/>
          <w:bCs w:val="0"/>
          <w:sz w:val="30"/>
          <w:szCs w:val="30"/>
          <w:highlight w:val="none"/>
        </w:rPr>
      </w:pPr>
      <w:bookmarkStart w:id="2" w:name="_Toc9641"/>
      <w:r>
        <w:rPr>
          <w:rFonts w:ascii="黑体" w:eastAsia="黑体" w:hAnsi="黑体" w:hint="eastAsia"/>
          <w:sz w:val="30"/>
          <w:szCs w:val="30"/>
          <w:lang w:val="en-US" w:eastAsia="zh-CN"/>
        </w:rPr>
        <w:t xml:space="preserve">二、机构设置</w:t>
      </w:r>
      <w:bookmarkEnd w:id="2"/>
    </w:p>
    <w:p>
      <w:pPr>
        <w:divId w:val="0"/>
        <w:spacing w:line="600" w:lineRule="exact"/>
        <w:ind w:firstLine="600"/>
        <w:rPr>
          <w:rFonts w:eastAsia="方正仿宋_GB2312" w:hint="eastAsia"/>
          <w:sz w:val="30"/>
          <w:szCs w:val="30"/>
          <w:highlight w:val="none"/>
          <w:lang w:val="en-US" w:eastAsia="zh-CN"/>
        </w:rPr>
      </w:pPr>
      <w:r>
        <w:rPr>
          <w:rFonts w:eastAsia="仿宋_GB2312" w:hint="eastAsia"/>
          <w:sz w:val="30"/>
          <w:szCs w:val="30"/>
          <w:highlight w:val="none"/>
          <w:lang w:val="en-US" w:eastAsia="zh-CN"/>
        </w:rPr>
        <w:t xml:space="preserve">纳</w:t>
      </w:r>
      <w:r>
        <w:rPr>
          <w:rFonts w:eastAsia="仿宋_GB2312" w:hint="eastAsia"/>
          <w:sz w:val="30"/>
          <w:szCs w:val="30"/>
          <w:highlight w:val="none"/>
          <w:lang w:val="en-US" w:eastAsia="zh-CN"/>
        </w:rPr>
        <w:t xml:space="preserve">入</w:t>
      </w:r>
      <w:r>
        <w:rPr>
          <w:rFonts w:eastAsia="仿宋_GB2312" w:hint="eastAsia"/>
          <w:sz w:val="30"/>
          <w:szCs w:val="30"/>
          <w:highlight w:val="none"/>
          <w:lang w:val="en-US" w:eastAsia="zh-CN"/>
        </w:rPr>
        <w:t xml:space="preserve">天津经济技术开发区统计调查中心</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年度部门决算编制范围的单位包括</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部门本级（内设2个职能科室）。</w:t>
      </w:r>
    </w:p>
    <w:p>
      <w:pPr>
        <w:divId w:val="0"/>
        <w:spacing w:line="600" w:lineRule="exact"/>
        <w:rPr>
          <w:rFonts w:eastAsia="方正楷体_GB2312" w:hint="eastAsia"/>
          <w:b/>
          <w:sz w:val="30"/>
          <w:szCs w:val="30"/>
          <w:highlight w:val="none"/>
        </w:rPr>
      </w:pPr>
      <w:r>
        <w:rPr>
          <w:rFonts w:eastAsia="方正楷体_GB2312"/>
          <w:b/>
          <w:sz w:val="30"/>
          <w:szCs w:val="30"/>
          <w:highlight w:val="none"/>
        </w:rPr>
        <w:br w:type="page"/>
      </w: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bookmarkStart w:id="3" w:name="_Toc22959"/>
      <w:r>
        <w:rPr>
          <w:rFonts w:ascii="方正小标宋简体" w:eastAsia="方正小标宋简体" w:hAnsi="方正小标宋简体" w:cs="方正小标宋简体" w:hint="eastAsia"/>
          <w:b w:val="0"/>
          <w:bCs w:val="0"/>
          <w:lang w:val="en-US" w:eastAsia="zh-CN"/>
        </w:rPr>
        <w:t xml:space="preserve">第二部分  2025年度部门决算表</w:t>
      </w:r>
      <w:bookmarkEnd w:id="3"/>
    </w:p>
    <w:p>
      <w:pPr>
        <w:pStyle w:val="标题1"/>
        <w:wordWrap w:val="0"/>
        <w:spacing w:before="0" w:after="0" w:line="600" w:lineRule="exact"/>
        <w:jc w:val="left"/>
        <w:rPr>
          <w:rFonts w:ascii="黑体" w:eastAsia="黑体" w:hAnsi="黑体" w:hint="eastAsia"/>
          <w:sz w:val="30"/>
          <w:szCs w:val="30"/>
          <w:lang w:val="en-US" w:eastAsia="zh-CN"/>
        </w:rPr>
      </w:pPr>
      <w:r>
        <w:rPr>
          <w:rFonts w:ascii="方正小标宋简体" w:eastAsia="方正小标宋简体" w:hAnsi="方正小标宋简体" w:cs="方正小标宋简体" w:hint="eastAsia"/>
          <w:b w:val="0"/>
          <w:bCs w:val="0"/>
          <w:lang w:val="en-US" w:eastAsia="zh-CN"/>
        </w:rPr>
        <w:br w:type="page"/>
      </w:r>
      <w:bookmarkStart w:id="4" w:name="_Toc24940"/>
      <w:r>
        <w:rPr>
          <w:rFonts w:ascii="黑体" w:eastAsia="黑体" w:hAnsi="黑体" w:hint="eastAsia"/>
          <w:sz w:val="30"/>
          <w:szCs w:val="30"/>
          <w:lang w:val="en-US" w:eastAsia="zh-CN"/>
        </w:rPr>
        <w:t xml:space="preserve">一、《收入支出决算总表》</w:t>
      </w:r>
      <w:bookmarkEnd w:id="4"/>
    </w:p>
    <w:tbl>
      <w:tblPr>
        <w:tblStyle w:val="普通表格"/>
        <w:tblW w:w="979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3351"/>
        <w:gridCol w:w="1632"/>
        <w:gridCol w:w="3180"/>
        <w:gridCol w:w="1632"/>
      </w:tblGrid>
      <w:tr>
        <w:tblPrEx>
          <w:tblW w:w="979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exact" w:val="397"/>
          <w:jc w:val="center"/>
        </w:trPr>
        <w:tc>
          <w:tcPr>
            <w:tcW w:w="1701" w:type="dxa"/>
            <w:gridSpan w:val="2"/>
            <w:tcBorders>
              <w:top w:val="nil"/>
              <w:left w:val="nil"/>
              <w:bottom w:val="single" w:sz="4" w:space="0" w:color="000000"/>
              <w:right w:val="nil"/>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天津经济技术开发区统计调查中心</w:t>
            </w:r>
          </w:p>
        </w:tc>
        <w:tc>
          <w:tcPr>
            <w:tcW w:w="1701" w:type="dxa"/>
            <w:gridSpan w:val="2"/>
            <w:tcBorders>
              <w:top w:val="nil"/>
              <w:left w:val="nil"/>
              <w:bottom w:val="single" w:sz="4" w:space="0" w:color="000000"/>
              <w:right w:val="nil"/>
            </w:tcBorders>
            <w:shd w:val="clear" w:color="000000" w:fill="FFFFFF"/>
            <w:noWrap w:val="1"/>
            <w:vAlign w:val="center"/>
          </w:tcPr>
          <w:p>
            <w:pPr>
              <w:divId w:val="0"/>
              <w:spacing w:line="240" w:lineRule="auto"/>
              <w:ind w:left="0" w:right="0" w:firstLine="0" w:leftChars="0" w:rightChars="0" w:firstLineChars="0"/>
              <w:jc w:val="righ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9795" w:type="dxa"/>
          <w:jc w:val="center"/>
          <w:tblLayout w:type="fixed"/>
          <w:tblCellMar>
            <w:top w:w="0" w:type="dxa"/>
            <w:left w:w="108" w:type="dxa"/>
            <w:bottom w:w="0" w:type="dxa"/>
            <w:right w:w="108" w:type="dxa"/>
          </w:tblCellMar>
          <w:tblLook w:val="0000"/>
        </w:tblPrEx>
        <w:trPr>
          <w:trHeight w:hRule="exact" w:val="397"/>
          <w:jc w:val="center"/>
        </w:trPr>
        <w:tc>
          <w:tcPr>
            <w:tcW w:w="1701" w:type="dxa"/>
            <w:gridSpan w:val="2"/>
            <w:tcBorders>
              <w:top w:val="single" w:sz="4" w:space="0" w:color="000000"/>
              <w:left w:val="single" w:sz="4" w:space="0" w:color="000000"/>
              <w:bottom w:val="single" w:sz="4" w:space="0" w:color="000000"/>
              <w:right w:val="nil"/>
            </w:tcBorders>
            <w:shd w:val="clear" w:color="000000" w:fill="FFFFFF"/>
            <w:noWrap w:val="1"/>
            <w:vAlign w:val="center"/>
          </w:tcPr>
          <w:p>
            <w:pPr>
              <w:divId w:val="0"/>
              <w:spacing w:line="240" w:lineRule="auto"/>
              <w:ind w:left="0" w:right="0" w:firstLine="0" w:leftChars="0" w:rightChars="0" w:firstLineChars="0"/>
              <w:jc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收入</w:t>
            </w:r>
          </w:p>
        </w:tc>
        <w:tc>
          <w:tcPr>
            <w:tcW w:w="1701" w:type="dxa"/>
            <w:gridSpan w:val="2"/>
            <w:tcBorders>
              <w:top w:val="single" w:sz="4" w:space="0" w:color="000000"/>
              <w:left w:val="nil"/>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w:t>
            </w:r>
          </w:p>
        </w:tc>
      </w:tr>
      <w:tr>
        <w:tblPrEx>
          <w:tblW w:w="9795" w:type="dxa"/>
          <w:jc w:val="center"/>
          <w:tblLayout w:type="fixed"/>
          <w:tblCellMar>
            <w:top w:w="0" w:type="dxa"/>
            <w:left w:w="108" w:type="dxa"/>
            <w:bottom w:w="0" w:type="dxa"/>
            <w:right w:w="108" w:type="dxa"/>
          </w:tblCellMar>
          <w:tblLook w:val="0000"/>
        </w:tblPrEx>
        <w:trPr>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一、一般公共预算财政拨款收入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tabs>
                <w:tab w:val="left" w:pos="1920"/>
              </w:tabs>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5964906.84</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一、一般公共服务支出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5964906.84</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二、政府性基金预算财政拨款收入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二、公共安全支出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三、国有资本经营预算财政拨款收入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三、教育支出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68"/>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四、财政专户管理资金</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四、科学技术支出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五、事业收入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五、文化旅游体育与传媒支出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六、事业单位经营收入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六、社会保障和就业支出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七、上级补助收入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七、卫生健康支出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八、附属单位上缴收入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八、节能环保支出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九、其他收入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九、城乡社区支出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十、农林水支出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十一、交通运输支出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十二、资源勘探工业信息等支出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十三、商业服务业等支出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十四、金融支出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十五、援助其他地区支出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十六、自然资源海洋气象等支出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十七、住房保障支出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十八、粮油物资储备支出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十九、国有资本经营预算支出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二十、灾害防治及应急管理支出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hAnsi="Times New Roman" w:cs="Times New Roman" w:hint="default"/>
                <w:i w:val="0"/>
                <w:iCs w:val="0"/>
                <w:color w:val="000000"/>
                <w:kern w:val="0.0"/>
                <w:sz w:val="20"/>
                <w:szCs w:val="20"/>
                <w:u w:val="none"/>
                <w:lang w:val="en-US" w:eastAsia="zh-CN"/>
              </w:rPr>
              <w:t xml:space="preserve">  </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二十一、其他支出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二十二、债务付息支出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二十三、抗疫特别国债安排的支出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本年收入合计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5964906.84</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本年支出合计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5964906.84</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w w:val="90"/>
                <w:kern w:val="0.0"/>
                <w:sz w:val="20"/>
                <w:szCs w:val="20"/>
                <w:u w:val="none"/>
                <w:lang w:val="en-US" w:eastAsia="zh-CN"/>
              </w:rPr>
              <w:t xml:space="preserve">十、使用非财政拨款结余</w:t>
            </w:r>
            <w:r>
              <w:rPr>
                <w:rFonts w:ascii="宋体" w:hAnsi="宋体" w:cs="宋体" w:hint="eastAsia"/>
                <w:i w:val="0"/>
                <w:iCs w:val="0"/>
                <w:color w:val="000000"/>
                <w:w w:val="90"/>
                <w:kern w:val="0.0"/>
                <w:sz w:val="20"/>
                <w:szCs w:val="20"/>
                <w:u w:val="none"/>
                <w:lang w:val="en-US" w:eastAsia="zh-CN"/>
              </w:rPr>
              <w:t xml:space="preserve">（含专用结余）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二十四、结余分配</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十一、年初结转和结余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二十五、年末结转和结余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其中：财政拨款结转和结余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right"/>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600" w:leftChars="0" w:rightChars="0" w:firstLineChars="30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其他结转和结余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right"/>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收入总计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5964906.84</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支出总计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5964906.84</w:t>
            </w:r>
          </w:p>
        </w:tc>
      </w:tr>
      <w:tr>
        <w:tblPrEx>
          <w:tblW w:w="9795" w:type="dxa"/>
          <w:jc w:val="center"/>
          <w:tblLayout w:type="fixed"/>
          <w:tblCellMar>
            <w:top w:w="0" w:type="dxa"/>
            <w:left w:w="108" w:type="dxa"/>
            <w:bottom w:w="0" w:type="dxa"/>
            <w:right w:w="108" w:type="dxa"/>
          </w:tblCellMar>
          <w:tblLook w:val="0000"/>
        </w:tblPrEx>
        <w:trPr>
          <w:trHeight w:val="315"/>
          <w:jc w:val="center"/>
        </w:trPr>
        <w:tc>
          <w:tcPr>
            <w:tcW w:w="1701" w:type="dxa"/>
            <w:gridSpan w:val="4"/>
            <w:tcBorders>
              <w:top w:val="nil"/>
              <w:left w:val="nil"/>
              <w:bottom w:val="nil"/>
              <w:right w:val="nil"/>
            </w:tcBorders>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注：本表反映本年度的总收支和年末结转结余情况。财政专户管理资金是指教育收费；事业收入不含教育收费。</w:t>
            </w:r>
          </w:p>
        </w:tc>
      </w:tr>
    </w:tbl>
    <w:p>
      <w:pPr>
        <w:divId w:val="0"/>
        <w:ind w:left="-480" w:firstLine="0" w:leftChars="-200" w:firstLineChars="0"/>
        <w:rPr>
          <w:rFonts w:hint="eastAsia"/>
          <w:lang w:val="en-US" w:eastAsia="zh-CN"/>
        </w:rPr>
        <w:sectPr>
          <w:footerReference w:type="default" r:id="rId5"/>
          <w:type w:val="nextPage"/>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start="1"/>
          <w:textDirection w:val="lrTb"/>
          <w:docGrid w:type="lines" w:linePitch="312" w:charSpace="0"/>
        </w:sectPr>
      </w:pPr>
    </w:p>
    <w:p>
      <w:pPr>
        <w:pStyle w:val="标题2"/>
        <w:wordWrap w:val="0"/>
        <w:spacing w:before="0" w:after="0" w:line="800" w:lineRule="exact"/>
        <w:ind w:firstLine="600" w:firstLineChars="200"/>
        <w:rPr>
          <w:rFonts w:ascii="黑体" w:eastAsia="黑体" w:hAnsi="黑体" w:hint="eastAsia"/>
          <w:sz w:val="30"/>
          <w:szCs w:val="30"/>
          <w:lang w:val="en-US" w:eastAsia="zh-CN"/>
        </w:rPr>
      </w:pPr>
      <w:bookmarkStart w:id="5" w:name="_Toc19253"/>
      <w:r>
        <w:rPr>
          <w:rFonts w:ascii="黑体" w:eastAsia="黑体" w:hAnsi="黑体" w:hint="eastAsia"/>
          <w:sz w:val="30"/>
          <w:szCs w:val="30"/>
          <w:lang w:val="en-US" w:eastAsia="zh-CN"/>
        </w:rPr>
        <w:t xml:space="preserve">二、《收入决算表（按功能分类列示）》</w:t>
      </w:r>
      <w:bookmarkEnd w:id="5"/>
    </w:p>
    <w:tbl>
      <w:tblPr>
        <w:tblStyle w:val="普通表格"/>
        <w:tblW w:w="1629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023"/>
        <w:gridCol w:w="2184"/>
        <w:gridCol w:w="1824"/>
        <w:gridCol w:w="1737"/>
        <w:gridCol w:w="1503"/>
        <w:gridCol w:w="1680"/>
        <w:gridCol w:w="1656"/>
        <w:gridCol w:w="1572"/>
        <w:gridCol w:w="1524"/>
        <w:gridCol w:w="1587"/>
      </w:tblGrid>
      <w:tr>
        <w:tblPrEx>
          <w:tblW w:w="1629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tblHeader/>
          <w:jc w:val="center"/>
        </w:trPr>
        <w:tc>
          <w:tcPr>
            <w:tcW w:w="9951" w:type="dxa"/>
            <w:gridSpan w:val="6"/>
            <w:tcBorders>
              <w:top w:val="nil"/>
              <w:left w:val="nil"/>
              <w:bottom w:val="single" w:sz="4" w:space="0" w:color="auto"/>
              <w:right w:val="nil"/>
            </w:tcBorders>
            <w:shd w:val="clear" w:color="auto" w:fill="FFFFFF"/>
            <w:noWrap w:val="1"/>
            <w:vAlign w:val="center"/>
          </w:tcPr>
          <w:p>
            <w:pPr>
              <w:divId w:val="0"/>
              <w:snapToGrid w:val="0"/>
              <w:jc w:val="left"/>
              <w:rPr>
                <w:rFonts w:ascii="宋体" w:eastAsia="宋体" w:hAnsi="宋体" w:cs="宋体" w:hint="eastAsia"/>
                <w:i w:val="0"/>
                <w:iCs w:val="0"/>
                <w:color w:val="000000"/>
                <w:sz w:val="24"/>
                <w:szCs w:val="24"/>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天津经济技术开发区统计调查中心</w:t>
            </w:r>
          </w:p>
        </w:tc>
        <w:tc>
          <w:tcPr>
            <w:tcW w:w="1656" w:type="dxa"/>
            <w:tcBorders>
              <w:top w:val="nil"/>
              <w:left w:val="nil"/>
              <w:bottom w:val="single" w:sz="4" w:space="0" w:color="auto"/>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4"/>
                <w:szCs w:val="24"/>
                <w:u w:val="none"/>
              </w:rPr>
            </w:pPr>
          </w:p>
        </w:tc>
        <w:tc>
          <w:tcPr>
            <w:tcW w:w="1572" w:type="dxa"/>
            <w:tcBorders>
              <w:top w:val="nil"/>
              <w:left w:val="nil"/>
              <w:bottom w:val="single" w:sz="4" w:space="0" w:color="auto"/>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4"/>
                <w:szCs w:val="24"/>
                <w:u w:val="none"/>
              </w:rPr>
            </w:pPr>
          </w:p>
        </w:tc>
        <w:tc>
          <w:tcPr>
            <w:tcW w:w="3111" w:type="dxa"/>
            <w:gridSpan w:val="2"/>
            <w:tcBorders>
              <w:top w:val="nil"/>
              <w:left w:val="nil"/>
              <w:bottom w:val="single" w:sz="4" w:space="0" w:color="auto"/>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2"/>
                <w:szCs w:val="22"/>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3207" w:type="dxa"/>
            <w:gridSpan w:val="2"/>
            <w:tcBorders>
              <w:top w:val="single" w:sz="4" w:space="0" w:color="auto"/>
              <w:left w:val="single" w:sz="4" w:space="0" w:color="auto"/>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1824"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本年收入合计</w:t>
            </w:r>
          </w:p>
        </w:tc>
        <w:tc>
          <w:tcPr>
            <w:tcW w:w="1737" w:type="dxa"/>
            <w:vMerge w:val="restart"/>
            <w:tcBorders>
              <w:top w:val="single" w:sz="4" w:space="0" w:color="auto"/>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财政拨款收入</w:t>
            </w:r>
          </w:p>
        </w:tc>
        <w:tc>
          <w:tcPr>
            <w:tcW w:w="1503"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上级补助收入</w:t>
            </w:r>
          </w:p>
        </w:tc>
        <w:tc>
          <w:tcPr>
            <w:tcW w:w="3336" w:type="dxa"/>
            <w:gridSpan w:val="2"/>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事业收入</w:t>
            </w:r>
          </w:p>
        </w:tc>
        <w:tc>
          <w:tcPr>
            <w:tcW w:w="1572"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经营收入</w:t>
            </w:r>
          </w:p>
        </w:tc>
        <w:tc>
          <w:tcPr>
            <w:tcW w:w="1524"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附属单位上缴收入</w:t>
            </w:r>
          </w:p>
        </w:tc>
        <w:tc>
          <w:tcPr>
            <w:tcW w:w="1587" w:type="dxa"/>
            <w:vMerge w:val="restart"/>
            <w:tcBorders>
              <w:top w:val="single" w:sz="4" w:space="0" w:color="auto"/>
              <w:left w:val="single" w:sz="4" w:space="0" w:color="000000"/>
              <w:bottom w:val="single" w:sz="4" w:space="0" w:color="000000"/>
              <w:right w:val="single" w:sz="4" w:space="0" w:color="auto"/>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其他收入</w:t>
            </w: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1023" w:type="dxa"/>
            <w:vMerge w:val="restart"/>
            <w:tcBorders>
              <w:top w:val="single" w:sz="4" w:space="0" w:color="000000"/>
              <w:left w:val="single" w:sz="4" w:space="0" w:color="auto"/>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18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8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73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snapToGrid w:val="0"/>
              <w:jc w:val="center"/>
              <w:rPr>
                <w:rFonts w:ascii="宋体" w:eastAsia="宋体" w:hAnsi="宋体" w:cs="宋体" w:hint="eastAsia"/>
                <w:i w:val="0"/>
                <w:iCs w:val="0"/>
                <w:color w:val="000000"/>
                <w:sz w:val="20"/>
                <w:szCs w:val="20"/>
                <w:u w:val="none"/>
              </w:rPr>
            </w:pPr>
          </w:p>
        </w:tc>
        <w:tc>
          <w:tcPr>
            <w:tcW w:w="150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68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小计</w:t>
            </w:r>
          </w:p>
        </w:tc>
        <w:tc>
          <w:tcPr>
            <w:tcW w:w="165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其中：教育收费</w:t>
            </w:r>
          </w:p>
        </w:tc>
        <w:tc>
          <w:tcPr>
            <w:tcW w:w="157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87" w:type="dxa"/>
            <w:vMerge/>
            <w:tcBorders>
              <w:top w:val="single" w:sz="4" w:space="0" w:color="000000"/>
              <w:left w:val="single" w:sz="4" w:space="0" w:color="000000"/>
              <w:bottom w:val="single" w:sz="4" w:space="0" w:color="000000"/>
              <w:right w:val="single" w:sz="4" w:space="0" w:color="auto"/>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1023" w:type="dxa"/>
            <w:vMerge/>
            <w:tcBorders>
              <w:top w:val="single" w:sz="4" w:space="0" w:color="000000"/>
              <w:left w:val="single" w:sz="4" w:space="0" w:color="auto"/>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18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8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73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snapToGrid w:val="0"/>
              <w:jc w:val="center"/>
              <w:rPr>
                <w:rFonts w:ascii="宋体" w:eastAsia="宋体" w:hAnsi="宋体" w:cs="宋体" w:hint="eastAsia"/>
                <w:i w:val="0"/>
                <w:iCs w:val="0"/>
                <w:color w:val="000000"/>
                <w:sz w:val="20"/>
                <w:szCs w:val="20"/>
                <w:u w:val="none"/>
              </w:rPr>
            </w:pPr>
          </w:p>
        </w:tc>
        <w:tc>
          <w:tcPr>
            <w:tcW w:w="150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68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65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7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87" w:type="dxa"/>
            <w:vMerge/>
            <w:tcBorders>
              <w:top w:val="single" w:sz="4" w:space="0" w:color="000000"/>
              <w:left w:val="single" w:sz="4" w:space="0" w:color="000000"/>
              <w:bottom w:val="single" w:sz="4" w:space="0" w:color="000000"/>
              <w:right w:val="single" w:sz="4" w:space="0" w:color="auto"/>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3207" w:type="dxa"/>
            <w:gridSpan w:val="2"/>
            <w:tcBorders>
              <w:top w:val="single" w:sz="4" w:space="0" w:color="000000"/>
              <w:left w:val="single" w:sz="4" w:space="0" w:color="auto"/>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8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5964906.84</w:t>
            </w:r>
          </w:p>
        </w:tc>
        <w:tc>
          <w:tcPr>
            <w:tcW w:w="173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5964906.84</w:t>
            </w:r>
          </w:p>
        </w:tc>
        <w:tc>
          <w:tcPr>
            <w:tcW w:w="150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000000"/>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201</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一般公共服务支出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5964906.84</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5964906.84</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20103</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政府办公厅（室）及相关机构事务</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1130000.00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1130000.00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2010302</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1130000.00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1130000.00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20105</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统计信息事务</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4834906.84</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4834906.84</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2010507</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2000000.00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2000000.00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2010550</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2834906.84</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2834906.84</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hRule="auto" w:val="0"/>
          <w:jc w:val="center"/>
        </w:trPr>
        <w:tc>
          <w:tcPr>
            <w:tcW w:w="16290" w:type="dxa"/>
            <w:gridSpan w:val="10"/>
            <w:tcBorders>
              <w:top w:val="single" w:sz="4" w:space="0" w:color="auto"/>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注：本表反映本年度取得的各项收入情况。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6" w:name="_Toc1420"/>
      <w:r>
        <w:rPr>
          <w:rFonts w:ascii="黑体" w:eastAsia="黑体" w:hAnsi="黑体" w:hint="eastAsia"/>
          <w:b/>
          <w:bCs/>
          <w:sz w:val="30"/>
          <w:szCs w:val="30"/>
          <w:lang w:val="en-US" w:eastAsia="zh-CN"/>
        </w:rPr>
        <w:t xml:space="preserve">三、《收入决算表（按单位列示）》</w:t>
      </w:r>
      <w:bookmarkEnd w:id="6"/>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733"/>
        <w:gridCol w:w="1405"/>
        <w:gridCol w:w="1344"/>
        <w:gridCol w:w="1153"/>
        <w:gridCol w:w="1285"/>
        <w:gridCol w:w="1285"/>
        <w:gridCol w:w="1285"/>
        <w:gridCol w:w="1285"/>
        <w:gridCol w:w="1285"/>
        <w:gridCol w:w="1285"/>
        <w:gridCol w:w="1285"/>
        <w:gridCol w:w="1329"/>
        <w:gridCol w:w="1329"/>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val="300"/>
          <w:jc w:val="center"/>
        </w:trPr>
        <w:tc>
          <w:tcPr>
            <w:tcW w:w="9775" w:type="dxa"/>
            <w:gridSpan w:val="8"/>
            <w:tcBorders>
              <w:top w:val="nil"/>
              <w:left w:val="nil"/>
              <w:bottom w:val="single" w:sz="4" w:space="0" w:color="000000"/>
              <w:right w:val="nil"/>
            </w:tcBorders>
            <w:noWrap w:val="1"/>
            <w:vAlign w:val="center"/>
          </w:tcPr>
          <w:p>
            <w:pPr>
              <w:divId w:val="0"/>
              <w:keepNext w:val="0"/>
              <w:keepLines w:val="0"/>
              <w:widowControl/>
              <w:suppressLineNumbers w:val="0"/>
              <w:jc w:val="left"/>
              <w:textAlignment w:val="center"/>
              <w:rPr>
                <w:rFonts w:ascii="宋体" w:eastAsia="宋体" w:hAnsi="宋体" w:cs="宋体" w:hint="eastAsia"/>
                <w:i w:val="0"/>
                <w:iCs w:val="0"/>
                <w:color w:val="000000"/>
                <w:sz w:val="16"/>
                <w:szCs w:val="16"/>
                <w:u w:val="none"/>
              </w:rPr>
            </w:pPr>
            <w:r>
              <w:rPr>
                <w:rFonts w:ascii="宋体" w:hAnsi="宋体" w:cs="宋体" w:hint="eastAsia"/>
                <w:i w:val="0"/>
                <w:iCs w:val="0"/>
                <w:color w:val="000000"/>
                <w:kern w:val="0.0"/>
                <w:sz w:val="16"/>
                <w:szCs w:val="16"/>
                <w:u w:val="none"/>
                <w:lang w:val="en-US" w:eastAsia="zh-CN"/>
              </w:rPr>
              <w:t xml:space="preserve">部门</w:t>
            </w:r>
            <w:r>
              <w:rPr>
                <w:rFonts w:ascii="宋体" w:eastAsia="宋体" w:hAnsi="宋体" w:cs="宋体" w:hint="eastAsia"/>
                <w:i w:val="0"/>
                <w:iCs w:val="0"/>
                <w:color w:val="000000"/>
                <w:kern w:val="0.0"/>
                <w:sz w:val="16"/>
                <w:szCs w:val="16"/>
                <w:u w:val="none"/>
                <w:lang w:val="en-US" w:eastAsia="zh-CN"/>
              </w:rPr>
              <w:t xml:space="preserve">：</w:t>
            </w:r>
            <w:r>
              <w:rPr>
                <w:rFonts w:ascii="宋体" w:eastAsia="宋体" w:hAnsi="宋体" w:cs="宋体" w:hint="eastAsia"/>
                <w:i w:val="0"/>
                <w:iCs w:val="0"/>
                <w:color w:val="000000"/>
                <w:kern w:val="0.0"/>
                <w:sz w:val="16"/>
                <w:szCs w:val="16"/>
                <w:u w:val="none"/>
                <w:lang w:val="en-US" w:eastAsia="zh-CN"/>
              </w:rPr>
              <w:t xml:space="preserve">天津经济技术开发区统计调查中心</w:t>
            </w:r>
          </w:p>
        </w:tc>
        <w:tc>
          <w:tcPr>
            <w:tcW w:w="1285" w:type="dxa"/>
            <w:tcBorders>
              <w:top w:val="nil"/>
              <w:left w:val="nil"/>
              <w:bottom w:val="single" w:sz="4" w:space="0" w:color="000000"/>
              <w:right w:val="nil"/>
            </w:tcBorders>
            <w:noWrap w:val="1"/>
            <w:vAlign w:val="center"/>
          </w:tcPr>
          <w:p>
            <w:pPr>
              <w:divId w:val="0"/>
              <w:jc w:val="center"/>
              <w:rPr>
                <w:rFonts w:ascii="宋体" w:eastAsia="宋体" w:hAnsi="宋体" w:cs="宋体" w:hint="eastAsia"/>
                <w:i w:val="0"/>
                <w:iCs w:val="0"/>
                <w:color w:val="000000"/>
                <w:sz w:val="16"/>
                <w:szCs w:val="16"/>
                <w:u w:val="none"/>
              </w:rPr>
            </w:pPr>
          </w:p>
        </w:tc>
        <w:tc>
          <w:tcPr>
            <w:tcW w:w="1285" w:type="dxa"/>
            <w:tcBorders>
              <w:top w:val="nil"/>
              <w:left w:val="nil"/>
              <w:bottom w:val="single" w:sz="4" w:space="0" w:color="000000"/>
              <w:right w:val="nil"/>
            </w:tcBorders>
            <w:noWrap w:val="1"/>
            <w:vAlign w:val="center"/>
          </w:tcPr>
          <w:p>
            <w:pPr>
              <w:divId w:val="0"/>
              <w:jc w:val="center"/>
              <w:rPr>
                <w:rFonts w:ascii="宋体" w:eastAsia="宋体" w:hAnsi="宋体" w:cs="宋体" w:hint="eastAsia"/>
                <w:i w:val="0"/>
                <w:iCs w:val="0"/>
                <w:color w:val="000000"/>
                <w:sz w:val="16"/>
                <w:szCs w:val="16"/>
                <w:u w:val="none"/>
              </w:rPr>
            </w:pPr>
          </w:p>
        </w:tc>
        <w:tc>
          <w:tcPr>
            <w:tcW w:w="1285" w:type="dxa"/>
            <w:tcBorders>
              <w:top w:val="nil"/>
              <w:left w:val="nil"/>
              <w:bottom w:val="single" w:sz="4" w:space="0" w:color="000000"/>
              <w:right w:val="nil"/>
            </w:tcBorders>
            <w:noWrap w:val="1"/>
            <w:vAlign w:val="center"/>
          </w:tcPr>
          <w:p>
            <w:pPr>
              <w:divId w:val="0"/>
              <w:jc w:val="center"/>
              <w:rPr>
                <w:rFonts w:ascii="宋体" w:eastAsia="宋体" w:hAnsi="宋体" w:cs="宋体" w:hint="eastAsia"/>
                <w:i w:val="0"/>
                <w:iCs w:val="0"/>
                <w:color w:val="000000"/>
                <w:sz w:val="16"/>
                <w:szCs w:val="16"/>
                <w:u w:val="none"/>
              </w:rPr>
            </w:pPr>
          </w:p>
        </w:tc>
        <w:tc>
          <w:tcPr>
            <w:tcW w:w="2658" w:type="dxa"/>
            <w:gridSpan w:val="2"/>
            <w:tcBorders>
              <w:top w:val="nil"/>
              <w:left w:val="nil"/>
              <w:bottom w:val="single" w:sz="4" w:space="0" w:color="000000"/>
              <w:right w:val="nil"/>
            </w:tcBorders>
            <w:noWrap w:val="1"/>
            <w:vAlign w:val="center"/>
          </w:tcPr>
          <w:p>
            <w:pPr>
              <w:divId w:val="0"/>
              <w:keepNext w:val="0"/>
              <w:keepLines w:val="0"/>
              <w:widowControl/>
              <w:suppressLineNumbers w:val="0"/>
              <w:jc w:val="right"/>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300"/>
          <w:jc w:val="center"/>
        </w:trPr>
        <w:tc>
          <w:tcPr>
            <w:tcW w:w="733"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部门（单位）代码</w:t>
            </w:r>
          </w:p>
        </w:tc>
        <w:tc>
          <w:tcPr>
            <w:tcW w:w="140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部门（单位）名称</w:t>
            </w:r>
          </w:p>
        </w:tc>
        <w:tc>
          <w:tcPr>
            <w:tcW w:w="1344"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合计</w:t>
            </w:r>
          </w:p>
        </w:tc>
        <w:tc>
          <w:tcPr>
            <w:tcW w:w="12806" w:type="dxa"/>
            <w:gridSpan w:val="10"/>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本年收入</w:t>
            </w:r>
          </w:p>
        </w:tc>
      </w:tr>
      <w:tr>
        <w:tblPrEx>
          <w:tblW w:w="16288" w:type="dxa"/>
          <w:jc w:val="center"/>
          <w:tblLayout w:type="fixed"/>
          <w:tblCellMar>
            <w:top w:w="0" w:type="dxa"/>
            <w:left w:w="108" w:type="dxa"/>
            <w:bottom w:w="0" w:type="dxa"/>
            <w:right w:w="108" w:type="dxa"/>
          </w:tblCellMar>
          <w:tblLook w:val="0000"/>
        </w:tblPrEx>
        <w:trPr>
          <w:trHeight w:val="300"/>
          <w:jc w:val="center"/>
        </w:trPr>
        <w:tc>
          <w:tcPr>
            <w:tcW w:w="733"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40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44"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153"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一般公共预算</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政府性基金预算</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国有资本经营预算</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财政专户管理资金</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事业收入</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事业单位经营收入</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上级补助收入</w:t>
            </w:r>
          </w:p>
        </w:tc>
        <w:tc>
          <w:tcPr>
            <w:tcW w:w="1329"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附属单位上缴收入</w:t>
            </w:r>
          </w:p>
        </w:tc>
        <w:tc>
          <w:tcPr>
            <w:tcW w:w="1329"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其他收入</w:t>
            </w:r>
          </w:p>
        </w:tc>
      </w:tr>
      <w:tr>
        <w:tblPrEx>
          <w:tblW w:w="16288" w:type="dxa"/>
          <w:jc w:val="center"/>
          <w:tblLayout w:type="fixed"/>
          <w:tblCellMar>
            <w:top w:w="0" w:type="dxa"/>
            <w:left w:w="108" w:type="dxa"/>
            <w:bottom w:w="0" w:type="dxa"/>
            <w:right w:w="108" w:type="dxa"/>
          </w:tblCellMar>
          <w:tblLook w:val="0000"/>
        </w:tblPrEx>
        <w:trPr>
          <w:trHeight w:val="270"/>
          <w:jc w:val="center"/>
        </w:trPr>
        <w:tc>
          <w:tcPr>
            <w:tcW w:w="733"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40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44"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153"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29"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29"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r>
      <w:tr>
        <w:tblPrEx>
          <w:tblW w:w="16288" w:type="dxa"/>
          <w:jc w:val="center"/>
          <w:tblLayout w:type="fixed"/>
          <w:tblCellMar>
            <w:top w:w="0" w:type="dxa"/>
            <w:left w:w="108" w:type="dxa"/>
            <w:bottom w:w="0" w:type="dxa"/>
            <w:right w:w="108" w:type="dxa"/>
          </w:tblCellMar>
          <w:tblLook w:val="0000"/>
        </w:tblPrEx>
        <w:trPr>
          <w:trHeight w:val="782"/>
          <w:jc w:val="center"/>
        </w:trPr>
        <w:tc>
          <w:tcPr>
            <w:tcW w:w="2138"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合计</w:t>
            </w:r>
          </w:p>
        </w:tc>
        <w:tc>
          <w:tcPr>
            <w:tcW w:w="134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5964906.84</w:t>
            </w:r>
          </w:p>
        </w:tc>
        <w:tc>
          <w:tcPr>
            <w:tcW w:w="11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5964906.84</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5964906.84</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r>
      <w:tr>
        <w:tblPrEx>
          <w:tblW w:w="16288" w:type="dxa"/>
          <w:jc w:val="center"/>
          <w:tblLayout w:type="fixed"/>
          <w:tblCellMar>
            <w:top w:w="0" w:type="dxa"/>
            <w:left w:w="108" w:type="dxa"/>
            <w:bottom w:w="0" w:type="dxa"/>
            <w:right w:w="108" w:type="dxa"/>
          </w:tblCellMar>
          <w:tblLook w:val="0000"/>
        </w:tblPrEx>
        <w:trPr>
          <w:trHeight w:val="283"/>
          <w:jc w:val="center"/>
        </w:trPr>
        <w:tc>
          <w:tcPr>
            <w:tcW w:w="73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349201</w:t>
            </w:r>
          </w:p>
        </w:tc>
        <w:tc>
          <w:tcPr>
            <w:tcW w:w="140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天津经济技术开发区统计调查中心</w:t>
            </w:r>
          </w:p>
        </w:tc>
        <w:tc>
          <w:tcPr>
            <w:tcW w:w="134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5964906.84</w:t>
            </w:r>
          </w:p>
        </w:tc>
        <w:tc>
          <w:tcPr>
            <w:tcW w:w="11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5964906.84</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5964906.84</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r>
      <w:tr>
        <w:tblPrEx>
          <w:tblW w:w="16288" w:type="dxa"/>
          <w:jc w:val="center"/>
          <w:tblLayout w:type="fixed"/>
          <w:tblCellMar>
            <w:top w:w="0" w:type="dxa"/>
            <w:left w:w="108" w:type="dxa"/>
            <w:bottom w:w="0" w:type="dxa"/>
            <w:right w:w="108" w:type="dxa"/>
          </w:tblCellMar>
          <w:tblLook w:val="0000"/>
        </w:tblPrEx>
        <w:trPr>
          <w:trHeight w:val="270"/>
          <w:jc w:val="center"/>
        </w:trPr>
        <w:tc>
          <w:tcPr>
            <w:tcW w:w="16288" w:type="dxa"/>
            <w:gridSpan w:val="13"/>
            <w:tcBorders>
              <w:top w:val="single" w:sz="4" w:space="0" w:color="000000"/>
              <w:left w:val="nil"/>
              <w:bottom w:val="nil"/>
              <w:right w:val="nil"/>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注：本表反映本年度取得的各项收入情况。财政专户管理资金是指教育收费；事业收入不含教育收费。</w:t>
            </w:r>
          </w:p>
        </w:tc>
      </w:tr>
    </w:tbl>
    <w:p>
      <w:pPr>
        <w:pStyle w:val="标题2"/>
        <w:wordWrap w:val="0"/>
        <w:spacing w:before="0" w:after="0" w:line="240" w:lineRule="auto"/>
        <w:ind w:firstLine="0" w:firstLineChars="0"/>
        <w:rPr>
          <w:rFonts w:ascii="黑体" w:eastAsia="黑体" w:hAnsi="黑体" w:hint="eastAsia"/>
          <w:sz w:val="30"/>
          <w:szCs w:val="30"/>
          <w:lang w:val="en-US" w:eastAsia="zh-CN"/>
        </w:rPr>
      </w:pPr>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697"/>
        <w:gridCol w:w="1388"/>
        <w:gridCol w:w="1482"/>
        <w:gridCol w:w="1836"/>
        <w:gridCol w:w="1802"/>
        <w:gridCol w:w="1798"/>
        <w:gridCol w:w="1884"/>
        <w:gridCol w:w="1692"/>
        <w:gridCol w:w="1860"/>
        <w:gridCol w:w="1849"/>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9003" w:type="dxa"/>
            <w:gridSpan w:val="6"/>
            <w:tcBorders>
              <w:top w:val="nil"/>
              <w:left w:val="nil"/>
              <w:bottom w:val="single" w:sz="4" w:space="0" w:color="000000"/>
              <w:right w:val="nil"/>
            </w:tcBorders>
            <w:noWrap w:val="1"/>
            <w:vAlign w:val="center"/>
          </w:tcPr>
          <w:p>
            <w:pPr>
              <w:divId w:val="0"/>
              <w:snapToGrid w:val="0"/>
              <w:rPr>
                <w:rFonts w:ascii="宋体" w:eastAsia="宋体" w:hAnsi="宋体" w:cs="宋体" w:hint="eastAsia"/>
                <w:i w:val="0"/>
                <w:iCs w:val="0"/>
                <w:color w:val="000000"/>
                <w:sz w:val="16"/>
                <w:szCs w:val="16"/>
                <w:u w:val="none"/>
              </w:rPr>
            </w:pPr>
            <w:r>
              <w:rPr>
                <w:rFonts w:ascii="宋体" w:hAnsi="宋体" w:cs="宋体" w:hint="eastAsia"/>
                <w:i w:val="0"/>
                <w:iCs w:val="0"/>
                <w:color w:val="000000"/>
                <w:kern w:val="0.0"/>
                <w:sz w:val="16"/>
                <w:szCs w:val="16"/>
                <w:u w:val="none"/>
                <w:lang w:val="en-US" w:eastAsia="zh-CN"/>
              </w:rPr>
              <w:t xml:space="preserve">部门</w:t>
            </w:r>
            <w:r>
              <w:rPr>
                <w:rFonts w:ascii="宋体" w:eastAsia="宋体" w:hAnsi="宋体" w:cs="宋体" w:hint="eastAsia"/>
                <w:i w:val="0"/>
                <w:iCs w:val="0"/>
                <w:color w:val="000000"/>
                <w:kern w:val="0.0"/>
                <w:sz w:val="16"/>
                <w:szCs w:val="16"/>
                <w:u w:val="none"/>
                <w:lang w:val="en-US" w:eastAsia="zh-CN"/>
              </w:rPr>
              <w:t xml:space="preserve">：</w:t>
            </w:r>
            <w:r>
              <w:rPr>
                <w:rFonts w:ascii="宋体" w:eastAsia="宋体" w:hAnsi="宋体" w:cs="宋体" w:hint="eastAsia"/>
                <w:i w:val="0"/>
                <w:iCs w:val="0"/>
                <w:color w:val="000000"/>
                <w:kern w:val="0.0"/>
                <w:sz w:val="16"/>
                <w:szCs w:val="16"/>
                <w:u w:val="none"/>
                <w:lang w:val="en-US" w:eastAsia="zh-CN"/>
              </w:rPr>
              <w:t xml:space="preserve">天津经济技术开发区统计调查中心</w:t>
            </w:r>
          </w:p>
        </w:tc>
        <w:tc>
          <w:tcPr>
            <w:tcW w:w="3576" w:type="dxa"/>
            <w:gridSpan w:val="2"/>
            <w:tcBorders>
              <w:top w:val="nil"/>
              <w:left w:val="nil"/>
              <w:bottom w:val="single" w:sz="4" w:space="0" w:color="000000"/>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kern w:val="0.0"/>
                <w:sz w:val="16"/>
                <w:szCs w:val="16"/>
                <w:u w:val="none"/>
                <w:lang w:val="en-US" w:eastAsia="zh-CN"/>
              </w:rPr>
            </w:pPr>
          </w:p>
        </w:tc>
        <w:tc>
          <w:tcPr>
            <w:tcW w:w="3709" w:type="dxa"/>
            <w:gridSpan w:val="2"/>
            <w:tcBorders>
              <w:top w:val="nil"/>
              <w:left w:val="nil"/>
              <w:bottom w:val="single" w:sz="4" w:space="0" w:color="000000"/>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697"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部门（单位）代码</w:t>
            </w:r>
          </w:p>
        </w:tc>
        <w:tc>
          <w:tcPr>
            <w:tcW w:w="1388"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部门（单位）名称</w:t>
            </w:r>
          </w:p>
        </w:tc>
        <w:tc>
          <w:tcPr>
            <w:tcW w:w="14203" w:type="dxa"/>
            <w:gridSpan w:val="8"/>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上年结转和结余</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697"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38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482"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7320" w:type="dxa"/>
            <w:gridSpan w:val="4"/>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财政拨款结转结余</w:t>
            </w:r>
          </w:p>
        </w:tc>
        <w:tc>
          <w:tcPr>
            <w:tcW w:w="5401" w:type="dxa"/>
            <w:gridSpan w:val="3"/>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非财政拨款结转结余</w:t>
            </w:r>
          </w:p>
        </w:tc>
      </w:tr>
      <w:tr>
        <w:tblPrEx>
          <w:tblW w:w="16288" w:type="dxa"/>
          <w:jc w:val="center"/>
          <w:tblLayout w:type="fixed"/>
          <w:tblCellMar>
            <w:top w:w="0" w:type="dxa"/>
            <w:left w:w="108" w:type="dxa"/>
            <w:bottom w:w="0" w:type="dxa"/>
            <w:right w:w="108" w:type="dxa"/>
          </w:tblCellMar>
          <w:tblLook w:val="0000"/>
        </w:tblPrEx>
        <w:trPr>
          <w:cantSplit/>
          <w:trHeight w:hRule="auto" w:val="0"/>
          <w:jc w:val="center"/>
        </w:trPr>
        <w:tc>
          <w:tcPr>
            <w:tcW w:w="697"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38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482"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836"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180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一般公共预算</w:t>
            </w:r>
          </w:p>
        </w:tc>
        <w:tc>
          <w:tcPr>
            <w:tcW w:w="179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政府性基金预算</w:t>
            </w:r>
          </w:p>
        </w:tc>
        <w:tc>
          <w:tcPr>
            <w:tcW w:w="188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国有资本经营预算</w:t>
            </w:r>
          </w:p>
        </w:tc>
        <w:tc>
          <w:tcPr>
            <w:tcW w:w="169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186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财政专户管理资金</w:t>
            </w:r>
          </w:p>
        </w:tc>
        <w:tc>
          <w:tcPr>
            <w:tcW w:w="184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单位资金</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2085"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合计</w:t>
            </w:r>
          </w:p>
        </w:tc>
        <w:tc>
          <w:tcPr>
            <w:tcW w:w="148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36"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0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79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8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69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6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4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697"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auto"/>
                <w:kern w:val="0.0"/>
                <w:sz w:val="16"/>
                <w:szCs w:val="16"/>
                <w:u w:val="none"/>
                <w:lang w:val="en-US" w:eastAsia="zh-CN"/>
              </w:rPr>
            </w:pPr>
            <w:r>
              <w:rPr>
                <w:rFonts w:ascii="宋体" w:eastAsia="宋体" w:hAnsi="宋体" w:cs="宋体" w:hint="eastAsia"/>
                <w:i w:val="0"/>
                <w:iCs w:val="0"/>
                <w:color w:val="auto"/>
                <w:kern w:val="0.0"/>
                <w:sz w:val="16"/>
                <w:szCs w:val="16"/>
                <w:u w:val="none"/>
                <w:lang w:val="en-US" w:eastAsia="zh-CN"/>
              </w:rPr>
              <w:t xml:space="preserve">349201</w:t>
            </w:r>
          </w:p>
        </w:tc>
        <w:tc>
          <w:tcPr>
            <w:tcW w:w="138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auto"/>
                <w:kern w:val="0.0"/>
                <w:sz w:val="16"/>
                <w:szCs w:val="16"/>
                <w:u w:val="none"/>
                <w:lang w:val="en-US" w:eastAsia="zh-CN"/>
              </w:rPr>
            </w:pPr>
            <w:r>
              <w:rPr>
                <w:rFonts w:ascii="宋体" w:eastAsia="宋体" w:hAnsi="宋体" w:cs="宋体" w:hint="eastAsia"/>
                <w:i w:val="0"/>
                <w:iCs w:val="0"/>
                <w:color w:val="auto"/>
                <w:kern w:val="0.0"/>
                <w:sz w:val="16"/>
                <w:szCs w:val="16"/>
                <w:u w:val="none"/>
                <w:lang w:val="en-US" w:eastAsia="zh-CN"/>
              </w:rPr>
              <w:t xml:space="preserve">天津经济技术开发区统计调查中心</w:t>
            </w:r>
          </w:p>
        </w:tc>
        <w:tc>
          <w:tcPr>
            <w:tcW w:w="148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36"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0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79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8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69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6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4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10"/>
            <w:tcBorders>
              <w:top w:val="single" w:sz="4" w:space="0" w:color="000000"/>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注：本表反映本年度取得的各项收入情况。财政专户管理资金是指教育收费；事业收入不含教育收费。</w:t>
            </w:r>
          </w:p>
        </w:tc>
      </w:tr>
    </w:tbl>
    <w:p>
      <w:pPr>
        <w:sectPr>
          <w:footerReference w:type="default" r:id="rId6"/>
          <w:pgSz w:w="16838" w:h="11906" w:orient="landscape"/>
          <w:pgMar w:top="1800" w:right="1440" w:bottom="1800" w:left="144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textDirection w:val="lrTb"/>
          <w:docGrid w:type="lines" w:linePitch="312" w:charSpace="0"/>
        </w:sectPr>
      </w:pPr>
    </w:p>
    <w:p>
      <w:pPr>
        <w:pStyle w:val="标题2"/>
        <w:wordWrap w:val="0"/>
        <w:spacing w:before="0" w:after="0" w:line="800" w:lineRule="exact"/>
        <w:ind w:firstLine="600" w:firstLineChars="200"/>
        <w:rPr>
          <w:rFonts w:ascii="黑体" w:eastAsia="黑体" w:hAnsi="黑体" w:hint="eastAsia"/>
          <w:sz w:val="30"/>
          <w:szCs w:val="30"/>
          <w:lang w:val="en-US" w:eastAsia="zh-CN"/>
        </w:rPr>
      </w:pPr>
      <w:bookmarkStart w:id="7" w:name="_Toc16222"/>
      <w:r>
        <w:rPr>
          <w:rFonts w:ascii="黑体" w:eastAsia="黑体" w:hAnsi="黑体" w:hint="eastAsia"/>
          <w:sz w:val="30"/>
          <w:szCs w:val="30"/>
          <w:lang w:val="en-US" w:eastAsia="zh-CN"/>
        </w:rPr>
        <w:t xml:space="preserve">四、《支出决算表》</w:t>
      </w:r>
      <w:bookmarkEnd w:id="7"/>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962"/>
        <w:gridCol w:w="3228"/>
        <w:gridCol w:w="1980"/>
        <w:gridCol w:w="1968"/>
        <w:gridCol w:w="2016"/>
        <w:gridCol w:w="2010"/>
        <w:gridCol w:w="2062"/>
        <w:gridCol w:w="2062"/>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8138" w:type="dxa"/>
            <w:gridSpan w:val="4"/>
            <w:tcBorders>
              <w:top w:val="nil"/>
              <w:left w:val="nil"/>
              <w:bottom w:val="single" w:sz="4" w:space="0" w:color="000000"/>
              <w:right w:val="nil"/>
            </w:tcBorders>
            <w:shd w:val="clear" w:color="auto" w:fill="FFFFFF"/>
            <w:noWrap w:val="1"/>
            <w:vAlign w:val="center"/>
          </w:tcPr>
          <w:p>
            <w:pPr>
              <w:divId w:val="0"/>
              <w:snapToGrid w:val="0"/>
              <w:jc w:val="left"/>
              <w:rPr>
                <w:rFonts w:ascii="宋体" w:eastAsia="宋体" w:hAnsi="宋体" w:cs="宋体" w:hint="eastAsia"/>
                <w:i w:val="0"/>
                <w:iCs w:val="0"/>
                <w:color w:val="000000"/>
                <w:sz w:val="22"/>
                <w:szCs w:val="22"/>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天津经济技术开发区统计调查中心</w:t>
            </w:r>
          </w:p>
        </w:tc>
        <w:tc>
          <w:tcPr>
            <w:tcW w:w="2016" w:type="dxa"/>
            <w:tcBorders>
              <w:top w:val="nil"/>
              <w:left w:val="nil"/>
              <w:bottom w:val="single" w:sz="4" w:space="0" w:color="000000"/>
              <w:right w:val="nil"/>
            </w:tcBorders>
            <w:shd w:val="clear" w:color="auto" w:fill="FFFFFF"/>
            <w:noWrap w:val="1"/>
            <w:vAlign w:val="center"/>
          </w:tcPr>
          <w:p>
            <w:pPr>
              <w:divId w:val="0"/>
              <w:snapToGrid w:val="0"/>
              <w:jc w:val="center"/>
              <w:rPr>
                <w:rFonts w:ascii="宋体" w:eastAsia="宋体" w:hAnsi="宋体" w:cs="宋体" w:hint="eastAsia"/>
                <w:i w:val="0"/>
                <w:iCs w:val="0"/>
                <w:color w:val="000000"/>
                <w:sz w:val="22"/>
                <w:szCs w:val="22"/>
                <w:u w:val="none"/>
              </w:rPr>
            </w:pPr>
          </w:p>
        </w:tc>
        <w:tc>
          <w:tcPr>
            <w:tcW w:w="2010" w:type="dxa"/>
            <w:tcBorders>
              <w:top w:val="nil"/>
              <w:left w:val="nil"/>
              <w:bottom w:val="single" w:sz="4" w:space="0" w:color="000000"/>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2"/>
                <w:szCs w:val="22"/>
                <w:u w:val="none"/>
              </w:rPr>
            </w:pPr>
          </w:p>
        </w:tc>
        <w:tc>
          <w:tcPr>
            <w:tcW w:w="2062" w:type="dxa"/>
            <w:tcBorders>
              <w:top w:val="nil"/>
              <w:left w:val="nil"/>
              <w:bottom w:val="single" w:sz="4" w:space="0" w:color="000000"/>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2"/>
                <w:szCs w:val="22"/>
                <w:u w:val="none"/>
              </w:rPr>
            </w:pPr>
          </w:p>
        </w:tc>
        <w:tc>
          <w:tcPr>
            <w:tcW w:w="2062" w:type="dxa"/>
            <w:tcBorders>
              <w:top w:val="nil"/>
              <w:left w:val="nil"/>
              <w:bottom w:val="single" w:sz="4" w:space="0" w:color="000000"/>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2"/>
                <w:szCs w:val="22"/>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4190"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支出功能分类科目</w:t>
            </w:r>
          </w:p>
        </w:tc>
        <w:tc>
          <w:tcPr>
            <w:tcW w:w="198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本年支出合计</w:t>
            </w:r>
          </w:p>
        </w:tc>
        <w:tc>
          <w:tcPr>
            <w:tcW w:w="196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基本支出</w:t>
            </w:r>
          </w:p>
        </w:tc>
        <w:tc>
          <w:tcPr>
            <w:tcW w:w="201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项目支出</w:t>
            </w:r>
          </w:p>
        </w:tc>
        <w:tc>
          <w:tcPr>
            <w:tcW w:w="201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上缴上级支出</w:t>
            </w:r>
          </w:p>
        </w:tc>
        <w:tc>
          <w:tcPr>
            <w:tcW w:w="206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经营支出</w:t>
            </w:r>
          </w:p>
        </w:tc>
        <w:tc>
          <w:tcPr>
            <w:tcW w:w="206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对附属单位补助支出</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96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322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98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96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12"/>
          <w:jc w:val="center"/>
        </w:trPr>
        <w:tc>
          <w:tcPr>
            <w:tcW w:w="9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322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98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96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4190" w:type="dxa"/>
            <w:gridSpan w:val="2"/>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r>
              <w:rPr>
                <w:rFonts w:ascii="Times New Roman" w:eastAsia="宋体" w:hAnsi="Times New Roman" w:cs="Times New Roman" w:hint="default"/>
                <w:kern w:val="0.0"/>
                <w:sz w:val="20"/>
                <w:szCs w:val="20"/>
                <w:lang w:val="en-US" w:eastAsia="zh-CN"/>
              </w:rPr>
              <w:t xml:space="preserve">5964906.84</w:t>
            </w:r>
          </w:p>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r>
              <w:rPr>
                <w:rFonts w:ascii="Times New Roman" w:eastAsia="宋体" w:hAnsi="Times New Roman" w:cs="Times New Roman" w:hint="default"/>
                <w:kern w:val="0.0"/>
                <w:sz w:val="20"/>
                <w:szCs w:val="20"/>
                <w:lang w:val="en-US" w:eastAsia="zh-CN"/>
              </w:rPr>
              <w:t xml:space="preserve">2834906.84</w:t>
            </w:r>
          </w:p>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r>
              <w:rPr>
                <w:rFonts w:ascii="Times New Roman" w:eastAsia="宋体" w:hAnsi="Times New Roman" w:cs="Times New Roman" w:hint="default"/>
                <w:kern w:val="0.0"/>
                <w:sz w:val="20"/>
                <w:szCs w:val="20"/>
                <w:lang w:val="en-US" w:eastAsia="zh-CN"/>
              </w:rPr>
              <w:t xml:space="preserve">3130000.00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p>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201</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一般公共服务支出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5964906.84</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2834906.84</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3130000.00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20103</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政府办公厅（室）及相关机构事务</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1130000.00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1130000.00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2010302</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1130000.00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1130000.00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20105</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统计信息事务</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4834906.84</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2834906.84</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2000000.00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2010507</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2000000.00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2000000.00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2010550</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2834906.84</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2834906.84</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8"/>
            <w:tcBorders>
              <w:top w:val="single" w:sz="4" w:space="0" w:color="000000"/>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注：本表反映本年度各项支出情况。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8" w:name="_Toc10133"/>
      <w:r>
        <w:rPr>
          <w:rFonts w:ascii="黑体" w:eastAsia="黑体" w:hAnsi="黑体" w:hint="eastAsia"/>
          <w:sz w:val="30"/>
          <w:szCs w:val="30"/>
          <w:lang w:val="en-US" w:eastAsia="zh-CN"/>
        </w:rPr>
        <w:t xml:space="preserve">五、《财政拨款收入支出决算总表》</w:t>
      </w:r>
      <w:bookmarkEnd w:id="8"/>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3051"/>
        <w:gridCol w:w="2324"/>
        <w:gridCol w:w="2968"/>
        <w:gridCol w:w="2004"/>
        <w:gridCol w:w="1992"/>
        <w:gridCol w:w="1932"/>
        <w:gridCol w:w="2017"/>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8343" w:type="dxa"/>
            <w:gridSpan w:val="3"/>
            <w:tcBorders>
              <w:top w:val="nil"/>
              <w:left w:val="nil"/>
              <w:bottom w:val="nil"/>
              <w:right w:val="nil"/>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天津经济技术开发区统计调查中心</w:t>
            </w:r>
          </w:p>
        </w:tc>
        <w:tc>
          <w:tcPr>
            <w:tcW w:w="2004" w:type="dxa"/>
            <w:tcBorders>
              <w:top w:val="nil"/>
              <w:left w:val="nil"/>
              <w:bottom w:val="nil"/>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0"/>
                <w:szCs w:val="20"/>
                <w:u w:val="none"/>
              </w:rPr>
            </w:pPr>
          </w:p>
        </w:tc>
        <w:tc>
          <w:tcPr>
            <w:tcW w:w="1992" w:type="dxa"/>
            <w:tcBorders>
              <w:top w:val="nil"/>
              <w:left w:val="nil"/>
              <w:bottom w:val="nil"/>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0"/>
                <w:szCs w:val="20"/>
                <w:u w:val="none"/>
              </w:rPr>
            </w:pPr>
          </w:p>
        </w:tc>
        <w:tc>
          <w:tcPr>
            <w:tcW w:w="3949" w:type="dxa"/>
            <w:gridSpan w:val="2"/>
            <w:tcBorders>
              <w:top w:val="nil"/>
              <w:left w:val="nil"/>
              <w:bottom w:val="nil"/>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5375" w:type="dxa"/>
            <w:gridSpan w:val="2"/>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收入</w:t>
            </w:r>
          </w:p>
        </w:tc>
        <w:tc>
          <w:tcPr>
            <w:tcW w:w="10913" w:type="dxa"/>
            <w:gridSpan w:val="5"/>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232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w:t>
            </w: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992" w:type="dxa"/>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一般公共预算财政拨款</w:t>
            </w:r>
          </w:p>
        </w:tc>
        <w:tc>
          <w:tcPr>
            <w:tcW w:w="1932" w:type="dxa"/>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政府性基金预算财政拨款</w:t>
            </w:r>
          </w:p>
        </w:tc>
        <w:tc>
          <w:tcPr>
            <w:tcW w:w="2017" w:type="dxa"/>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国有资本经营预算财政拨款</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一、一般公共预算财政拨款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5964906.84</w:t>
            </w: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一、一般公共服务支出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5964906.84</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5964906.84</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二、政府性基金预算财政拨款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二、公共安全支出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三、国有资本经营预算财政拨款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三、教育支出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四、科学技术支出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五、文化旅游体育与传媒支出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六、社会保障和就业支出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七、卫生健康支出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八、节能环保支出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九、城乡社区支出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十、农林水支出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十一、交通运输支出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十二、资源勘探工业信息等支出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十三、商业服务业等支出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十四、金融支出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十五、援助其他地区支出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十六、自然资源海洋气象等支出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十七、住房保障支出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十八、粮油物资储备支出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十九、国有资本经营预算支出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二十、灾害防治及应急管理支出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二十一、其他支出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二十二、债务付息支出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73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二十三、抗疫特别国债安排的支出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本年收入合计</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5964906.84</w:t>
            </w: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本年支出合计</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5964906.84</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333333"/>
                <w:kern w:val="0.0"/>
                <w:sz w:val="20"/>
                <w:szCs w:val="20"/>
                <w:u w:val="none"/>
                <w:lang w:val="en-US" w:eastAsia="zh-CN"/>
              </w:rPr>
              <w:t xml:space="preserve">5964906.84</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年初财政拨款结转和结余</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年末财政拨款结转和结余</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spacing w:line="240" w:lineRule="auto"/>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一般公共预算财政拨款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ind w:left="0" w:firstLine="0" w:lef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政府性基金预算财政拨款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国有资本经营预算财政拨款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总计</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5964906.84</w:t>
            </w: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总计</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5964906.84</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333333"/>
                <w:kern w:val="0.0"/>
                <w:sz w:val="20"/>
                <w:szCs w:val="20"/>
                <w:u w:val="none"/>
                <w:lang w:val="en-US" w:eastAsia="zh-CN"/>
              </w:rPr>
              <w:t xml:space="preserve">5964906.84</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7"/>
            <w:tcBorders>
              <w:top w:val="single" w:sz="4" w:space="0" w:color="000000"/>
              <w:left w:val="nil"/>
              <w:bottom w:val="nil"/>
              <w:right w:val="nil"/>
            </w:tcBorders>
            <w:shd w:val="clear" w:color="auto" w:fill="FFFFFF"/>
            <w:noWrap w:val="1"/>
            <w:vAlign w:val="center"/>
          </w:tcPr>
          <w:p>
            <w:pPr>
              <w:divId w:val="0"/>
              <w:keepNext w:val="0"/>
              <w:keepLines w:val="0"/>
              <w:widowControl/>
              <w:suppressLineNumbers w:val="0"/>
              <w:snapToGrid w:val="0"/>
              <w:jc w:val="left"/>
              <w:textAlignment w:val="center"/>
              <w:rPr>
                <w:rFonts w:ascii="等线" w:eastAsia="等线" w:hAnsi="等线" w:cs="等线"/>
                <w:b w:val="0"/>
                <w:bCs w:val="0"/>
                <w:i w:val="0"/>
                <w:iCs w:val="0"/>
                <w:color w:val="333333"/>
                <w:spacing w:val="0"/>
                <w:w w:val="100"/>
                <w:sz w:val="20"/>
                <w:szCs w:val="20"/>
                <w:vertAlign w:val="baseline"/>
              </w:rPr>
            </w:pPr>
            <w:r>
              <w:rPr>
                <w:rFonts w:ascii="宋体" w:eastAsia="宋体" w:hAnsi="宋体" w:cs="宋体" w:hint="eastAsia"/>
                <w:i w:val="0"/>
                <w:iCs w:val="0"/>
                <w:color w:val="000000"/>
                <w:sz w:val="20"/>
                <w:szCs w:val="20"/>
                <w:u w:val="none"/>
              </w:rPr>
              <w:t xml:space="preserve">注：本表反映本年度一般公共预算财政拨款、政府性基金预算财政拨款和国有资本经营预算财政拨款的总收支和年末结转结余情况。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9" w:name="_Toc32088"/>
      <w:r>
        <w:rPr>
          <w:rFonts w:ascii="黑体" w:eastAsia="黑体" w:hAnsi="黑体" w:hint="eastAsia"/>
          <w:sz w:val="30"/>
          <w:szCs w:val="30"/>
          <w:lang w:val="en-US" w:eastAsia="zh-CN"/>
        </w:rPr>
        <w:t xml:space="preserve">六、《一般公共预算财政拨款支出决算表》</w:t>
      </w:r>
      <w:bookmarkEnd w:id="9"/>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166"/>
        <w:gridCol w:w="2891"/>
        <w:gridCol w:w="2446"/>
        <w:gridCol w:w="2446"/>
        <w:gridCol w:w="2446"/>
        <w:gridCol w:w="2446"/>
        <w:gridCol w:w="2447"/>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13841" w:type="dxa"/>
            <w:gridSpan w:val="6"/>
            <w:tcBorders>
              <w:top w:val="nil"/>
              <w:left w:val="nil"/>
              <w:bottom w:val="nil"/>
              <w:right w:val="nil"/>
            </w:tcBorders>
            <w:shd w:val="clear" w:color="auto" w:fill="FFFFFF"/>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Style w:val="font41"/>
                <w:lang w:val="en-US" w:eastAsia="zh-CN"/>
              </w:rPr>
              <w:t xml:space="preserve">天津经济技术开发区统计调查中心</w:t>
            </w:r>
          </w:p>
        </w:tc>
        <w:tc>
          <w:tcPr>
            <w:tcW w:w="2447" w:type="dxa"/>
            <w:tcBorders>
              <w:top w:val="nil"/>
              <w:left w:val="nil"/>
              <w:bottom w:val="nil"/>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4057" w:type="dxa"/>
            <w:gridSpan w:val="2"/>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支出功能分类科目</w:t>
            </w:r>
          </w:p>
        </w:tc>
        <w:tc>
          <w:tcPr>
            <w:tcW w:w="2446" w:type="dxa"/>
            <w:vMerge w:val="restart"/>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合计</w:t>
            </w:r>
          </w:p>
        </w:tc>
        <w:tc>
          <w:tcPr>
            <w:tcW w:w="7338" w:type="dxa"/>
            <w:gridSpan w:val="3"/>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基本支出</w:t>
            </w:r>
          </w:p>
        </w:tc>
        <w:tc>
          <w:tcPr>
            <w:tcW w:w="2447" w:type="dxa"/>
            <w:vMerge w:val="restart"/>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项目支出</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16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科目编码</w:t>
            </w:r>
          </w:p>
        </w:tc>
        <w:tc>
          <w:tcPr>
            <w:tcW w:w="289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科目名称</w:t>
            </w:r>
          </w:p>
        </w:tc>
        <w:tc>
          <w:tcPr>
            <w:tcW w:w="2446" w:type="dxa"/>
            <w:vMerge/>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小计</w:t>
            </w:r>
          </w:p>
        </w:tc>
        <w:tc>
          <w:tcPr>
            <w:tcW w:w="244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人员经费</w:t>
            </w:r>
          </w:p>
        </w:tc>
        <w:tc>
          <w:tcPr>
            <w:tcW w:w="244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公用经费</w:t>
            </w:r>
          </w:p>
        </w:tc>
        <w:tc>
          <w:tcPr>
            <w:tcW w:w="2447" w:type="dxa"/>
            <w:vMerge/>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4057" w:type="dxa"/>
            <w:gridSpan w:val="2"/>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合计</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5964906.84</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2834906.84</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2655393.39</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179513.45</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3130000.00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201</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一般公共服务支出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5964906.84</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2834906.84</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2655393.39</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179513.45</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3130000.00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20103</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政府办公厅（室）及相关机构事务</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1130000.00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1130000.00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2010302</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1130000.00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1130000.00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20105</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统计信息事务</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4834906.84</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2834906.84</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2655393.39</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179513.45</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2000000.00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2010507</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2000000.00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2000000.00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2010550</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2834906.84</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2834906.84</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2655393.39</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179513.45</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7"/>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注：本表反映本年度一般公共预算财政拨款支出情况。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0" w:name="_Toc8838"/>
      <w:r>
        <w:rPr>
          <w:rFonts w:ascii="黑体" w:eastAsia="黑体" w:hAnsi="黑体" w:hint="eastAsia"/>
          <w:sz w:val="30"/>
          <w:szCs w:val="30"/>
          <w:lang w:val="en-US" w:eastAsia="zh-CN"/>
        </w:rPr>
        <w:t xml:space="preserve">七、《一般公共预算财政拨款基本支出决算表》</w:t>
      </w:r>
      <w:bookmarkEnd w:id="10"/>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723"/>
        <w:gridCol w:w="2475"/>
        <w:gridCol w:w="2231"/>
        <w:gridCol w:w="754"/>
        <w:gridCol w:w="2444"/>
        <w:gridCol w:w="2231"/>
        <w:gridCol w:w="797"/>
        <w:gridCol w:w="2401"/>
        <w:gridCol w:w="2232"/>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8627" w:type="dxa"/>
            <w:gridSpan w:val="5"/>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天津经济技术开发区统计调查中心</w:t>
            </w:r>
          </w:p>
        </w:tc>
        <w:tc>
          <w:tcPr>
            <w:tcW w:w="2231"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797"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4633" w:type="dxa"/>
            <w:gridSpan w:val="2"/>
            <w:tcBorders>
              <w:top w:val="nil"/>
              <w:left w:val="nil"/>
              <w:bottom w:val="nil"/>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5429" w:type="dxa"/>
            <w:gridSpan w:val="3"/>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人员经费</w:t>
            </w:r>
          </w:p>
        </w:tc>
        <w:tc>
          <w:tcPr>
            <w:tcW w:w="10859" w:type="dxa"/>
            <w:gridSpan w:val="6"/>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公用经费</w:t>
            </w:r>
          </w:p>
        </w:tc>
      </w:tr>
      <w:tr>
        <w:tblPrEx>
          <w:tblW w:w="16288" w:type="dxa"/>
          <w:jc w:val="center"/>
          <w:tblLayout w:type="fixed"/>
          <w:tblCellMar>
            <w:top w:w="0" w:type="dxa"/>
            <w:left w:w="108" w:type="dxa"/>
            <w:bottom w:w="0" w:type="dxa"/>
            <w:right w:w="108" w:type="dxa"/>
          </w:tblCellMar>
          <w:tblLook w:val="0000"/>
        </w:tblPrEx>
        <w:trPr>
          <w:trHeight w:hRule="exact" w:val="850"/>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决算数</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决算数</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232"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决算数</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工资福利支出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2655393.39</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302</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商品和服务支出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179513.45</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30704</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国外债务发行费用</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基本工资</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538289.65</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30201</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办公费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67020.00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310</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资本性支出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30102</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津贴补贴</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1262071.88</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30202</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印刷费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房屋建筑物购建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奖金</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30204</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手续费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1280.00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办公设备购置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30106</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伙食补助费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30205</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5940.00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31003</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专用设备购置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30107</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绩效工资</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30206</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电费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31005</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基础设施建设</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30108</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机关事业单位基本养老保险缴费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136492.80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30207</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邮电费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1227.00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31006</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大型修缮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职业年金缴费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68246.40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30208</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取暖费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31007</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信息网络及软件购置更新</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30110</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职工基本医疗保险缴费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85308.00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物业管理费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31008</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物资储备</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公务员医疗补助缴费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30211</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差旅费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22408.50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土地补偿</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30112</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其他社会保障缴费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6696.66</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30212</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因公出国（境）费用</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31010</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安置补助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住房公积金</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558288.00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30213</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维</w:t>
            </w:r>
            <w:r>
              <w:rPr>
                <w:rFonts w:ascii="宋体" w:eastAsia="宋体" w:hAnsi="宋体" w:cs="宋体" w:hint="eastAsia"/>
                <w:i w:val="0"/>
                <w:iCs w:val="0"/>
                <w:color w:val="000000"/>
                <w:kern w:val="0.0"/>
                <w:sz w:val="20"/>
                <w:szCs w:val="20"/>
                <w:u w:val="none"/>
                <w:lang w:val="en-US" w:eastAsia="zh-CN"/>
              </w:rPr>
              <w:t xml:space="preserve">修</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护</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地上附着物和青苗补偿</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30114</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医疗费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30214</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租赁费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拆迁补偿</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30199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其他工资福利支出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30215</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会议费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31013</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公务用车购置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对个人和家庭的补助</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30216</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培训费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其他交通工具购置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离休费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30217</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公务接待费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31021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文物和陈列品购置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30302</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退休费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30218</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专用材料费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31022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无形资产购置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退职（役）费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30224</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被装购置费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31099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其他资本性支出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30304</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抚恤金</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30225</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专用燃料费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312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对企业补助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30305</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生活补助</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30226</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劳务费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资本金注入</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30306</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救济费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30227</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委托业务费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34000.00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31203</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政府投资基金股权投资</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30307</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医疗费补助</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30228</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工会经费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31204</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费用补贴</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30308</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助学金</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福利费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31205</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利息补贴</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奖励金</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30231</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公务用车运行维护费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31206</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其他资本性补助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30310</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个人农业生产补贴</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30239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其他交通费用</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35880.00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31299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其他对企业补助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30311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代缴社会保险费</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30240</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税金及附加费用</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399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其他支出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30399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其他对个人和家庭的补助</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30299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其他商品和服务支出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11757.95</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39907</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国家赔偿费用支出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307</w:t>
            </w:r>
          </w:p>
        </w:tc>
        <w:tc>
          <w:tcPr>
            <w:tcW w:w="244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债务利息及费用支出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39908</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对民间非营利组织和群众性自治组织补贴</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nil"/>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nil"/>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nil"/>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30701</w:t>
            </w:r>
          </w:p>
        </w:tc>
        <w:tc>
          <w:tcPr>
            <w:tcW w:w="244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国内债务付息</w:t>
            </w:r>
          </w:p>
        </w:tc>
        <w:tc>
          <w:tcPr>
            <w:tcW w:w="2231"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39909</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经常性赠与</w:t>
            </w:r>
          </w:p>
        </w:tc>
        <w:tc>
          <w:tcPr>
            <w:tcW w:w="2232"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nil"/>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nil"/>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nil"/>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30702</w:t>
            </w:r>
          </w:p>
        </w:tc>
        <w:tc>
          <w:tcPr>
            <w:tcW w:w="244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国外债务付息</w:t>
            </w:r>
          </w:p>
        </w:tc>
        <w:tc>
          <w:tcPr>
            <w:tcW w:w="2231"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39910</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资本性赠与</w:t>
            </w:r>
          </w:p>
        </w:tc>
        <w:tc>
          <w:tcPr>
            <w:tcW w:w="2232"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nil"/>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nil"/>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nil"/>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30703</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国内债务发行费用</w:t>
            </w:r>
          </w:p>
        </w:tc>
        <w:tc>
          <w:tcPr>
            <w:tcW w:w="2231"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39999</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其他支出</w:t>
            </w:r>
          </w:p>
        </w:tc>
        <w:tc>
          <w:tcPr>
            <w:tcW w:w="2232"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198" w:type="dxa"/>
            <w:gridSpan w:val="2"/>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人员经费合计</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b/>
                <w:bCs/>
                <w:i w:val="0"/>
                <w:iCs w:val="0"/>
                <w:color w:val="000000"/>
                <w:sz w:val="20"/>
                <w:szCs w:val="20"/>
                <w:u w:val="none"/>
              </w:rPr>
            </w:pPr>
            <w:r>
              <w:rPr>
                <w:rFonts w:ascii="Times New Roman" w:eastAsia="宋体" w:hAnsi="Times New Roman" w:cs="Times New Roman" w:hint="default"/>
                <w:b/>
                <w:bCs/>
                <w:i w:val="0"/>
                <w:iCs w:val="0"/>
                <w:color w:val="000000"/>
                <w:kern w:val="0.0"/>
                <w:sz w:val="20"/>
                <w:szCs w:val="20"/>
                <w:u w:val="none"/>
                <w:lang w:val="en-US" w:eastAsia="zh-CN"/>
              </w:rPr>
              <w:t xml:space="preserve">2655393.39</w:t>
            </w:r>
          </w:p>
        </w:tc>
        <w:tc>
          <w:tcPr>
            <w:tcW w:w="8627" w:type="dxa"/>
            <w:gridSpan w:val="5"/>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公用经费合计</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b/>
                <w:bCs/>
                <w:i w:val="0"/>
                <w:iCs w:val="0"/>
                <w:color w:val="000000"/>
                <w:sz w:val="20"/>
                <w:szCs w:val="20"/>
                <w:u w:val="none"/>
              </w:rPr>
            </w:pPr>
            <w:r>
              <w:rPr>
                <w:rFonts w:ascii="Times New Roman" w:eastAsia="宋体" w:hAnsi="Times New Roman" w:cs="Times New Roman" w:hint="default"/>
                <w:b/>
                <w:bCs/>
                <w:i w:val="0"/>
                <w:iCs w:val="0"/>
                <w:color w:val="000000"/>
                <w:kern w:val="0.0"/>
                <w:sz w:val="20"/>
                <w:szCs w:val="20"/>
                <w:u w:val="none"/>
                <w:lang w:val="en-US" w:eastAsia="zh-CN"/>
              </w:rPr>
              <w:t xml:space="preserve">179513.45</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9"/>
            <w:tcBorders>
              <w:top w:val="single" w:sz="4" w:space="0" w:color="000000"/>
              <w:left w:val="nil"/>
              <w:bottom w:val="nil"/>
              <w:right w:val="nil"/>
            </w:tcBorders>
            <w:noWrap w:val="1"/>
            <w:vAlign w:val="center"/>
          </w:tcPr>
          <w:p>
            <w:pPr>
              <w:pStyle w:val="普通(网站)"/>
              <w:keepNext w:val="0"/>
              <w:keepLines w:val="0"/>
              <w:widowControl/>
              <w:suppressLineNumbers w:val="0"/>
              <w:snapToGrid w:val="0"/>
              <w:spacing w:before="60" w:beforeAutospacing="0" w:after="60" w:afterAutospacing="0"/>
              <w:ind w:left="0" w:right="0" w:leftChars="0" w:rightChars="0"/>
              <w:jc w:val="left"/>
              <w:rPr>
                <w:rFonts w:ascii="宋体" w:eastAsia="宋体" w:hAnsi="宋体" w:cs="宋体" w:hint="eastAsia"/>
                <w:b/>
                <w:bCs/>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注：本表反映本年度一般公共预算财政拨款支出情况。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1" w:name="_Toc2699"/>
      <w:r>
        <w:rPr>
          <w:rFonts w:ascii="黑体" w:eastAsia="黑体" w:hAnsi="黑体" w:hint="eastAsia"/>
          <w:b/>
          <w:bCs/>
          <w:sz w:val="30"/>
          <w:szCs w:val="30"/>
          <w:lang w:val="en-US" w:eastAsia="zh-CN"/>
        </w:rPr>
        <w:t xml:space="preserve">八、《政府性基金预算财政拨款收入支出决算表》</w:t>
      </w:r>
      <w:bookmarkEnd w:id="11"/>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035"/>
        <w:gridCol w:w="2828"/>
        <w:gridCol w:w="2070"/>
        <w:gridCol w:w="2071"/>
        <w:gridCol w:w="2071"/>
        <w:gridCol w:w="2071"/>
        <w:gridCol w:w="2071"/>
        <w:gridCol w:w="2071"/>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val="567"/>
          <w:tblHeader/>
          <w:jc w:val="center"/>
        </w:trPr>
        <w:tc>
          <w:tcPr>
            <w:tcW w:w="10075" w:type="dxa"/>
            <w:gridSpan w:val="5"/>
            <w:tcBorders>
              <w:top w:val="nil"/>
              <w:left w:val="nil"/>
              <w:bottom w:val="nil"/>
              <w:right w:val="nil"/>
            </w:tcBorders>
            <w:shd w:val="clear" w:color="auto" w:fill="FFFFFF"/>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天津经济技术开发区统计调查中心</w:t>
            </w:r>
          </w:p>
        </w:tc>
        <w:tc>
          <w:tcPr>
            <w:tcW w:w="2071" w:type="dxa"/>
            <w:tcBorders>
              <w:top w:val="nil"/>
              <w:left w:val="nil"/>
              <w:bottom w:val="nil"/>
              <w:right w:val="nil"/>
            </w:tcBorders>
            <w:shd w:val="clear" w:color="auto" w:fill="FFFFFF"/>
            <w:vAlign w:val="center"/>
          </w:tcPr>
          <w:p>
            <w:pPr>
              <w:divId w:val="0"/>
              <w:snapToGrid w:val="0"/>
              <w:rPr>
                <w:rFonts w:ascii="宋体" w:eastAsia="宋体" w:hAnsi="宋体" w:cs="宋体" w:hint="eastAsia"/>
                <w:i w:val="0"/>
                <w:iCs w:val="0"/>
                <w:color w:val="000000"/>
                <w:sz w:val="20"/>
                <w:szCs w:val="20"/>
                <w:u w:val="none"/>
              </w:rPr>
            </w:pPr>
          </w:p>
        </w:tc>
        <w:tc>
          <w:tcPr>
            <w:tcW w:w="2071" w:type="dxa"/>
            <w:tcBorders>
              <w:top w:val="nil"/>
              <w:left w:val="nil"/>
              <w:bottom w:val="nil"/>
              <w:right w:val="nil"/>
            </w:tcBorders>
            <w:shd w:val="clear" w:color="auto" w:fill="FFFFFF"/>
            <w:vAlign w:val="center"/>
          </w:tcPr>
          <w:p>
            <w:pPr>
              <w:divId w:val="0"/>
              <w:snapToGrid w:val="0"/>
              <w:rPr>
                <w:rFonts w:ascii="宋体" w:eastAsia="宋体" w:hAnsi="宋体" w:cs="宋体" w:hint="eastAsia"/>
                <w:i w:val="0"/>
                <w:iCs w:val="0"/>
                <w:color w:val="000000"/>
                <w:sz w:val="20"/>
                <w:szCs w:val="20"/>
                <w:u w:val="none"/>
              </w:rPr>
            </w:pPr>
          </w:p>
        </w:tc>
        <w:tc>
          <w:tcPr>
            <w:tcW w:w="2071" w:type="dxa"/>
            <w:tcBorders>
              <w:top w:val="nil"/>
              <w:left w:val="nil"/>
              <w:bottom w:val="nil"/>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3863"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支出功能分类科目</w:t>
            </w:r>
          </w:p>
        </w:tc>
        <w:tc>
          <w:tcPr>
            <w:tcW w:w="2070"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年初结转和结余</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本年收入</w:t>
            </w:r>
          </w:p>
        </w:tc>
        <w:tc>
          <w:tcPr>
            <w:tcW w:w="6213" w:type="dxa"/>
            <w:gridSpan w:val="3"/>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年末结转和结余</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3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828"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070"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小计</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基本支</w:t>
            </w:r>
            <w:r>
              <w:rPr>
                <w:rFonts w:ascii="宋体" w:eastAsia="宋体" w:hAnsi="宋体" w:cs="宋体" w:hint="eastAsia"/>
                <w:i w:val="0"/>
                <w:iCs w:val="0"/>
                <w:color w:val="000000"/>
                <w:kern w:val="0.0"/>
                <w:sz w:val="20"/>
                <w:szCs w:val="20"/>
                <w:u w:val="none"/>
                <w:lang w:val="en-US" w:eastAsia="zh-CN"/>
              </w:rPr>
              <w:t xml:space="preserve">出</w:t>
            </w:r>
            <w:r>
              <w:rPr>
                <w:rFonts w:ascii="宋体" w:eastAsia="宋体" w:hAnsi="宋体" w:cs="宋体" w:hint="eastAsia"/>
                <w:i w:val="0"/>
                <w:iCs w:val="0"/>
                <w:color w:val="000000"/>
                <w:kern w:val="0.0"/>
                <w:sz w:val="20"/>
                <w:szCs w:val="20"/>
                <w:u w:val="none"/>
                <w:lang w:val="en-US" w:eastAsia="zh-CN"/>
              </w:rPr>
              <w:t xml:space="preserve">  </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项目支出</w:t>
            </w: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35"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82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0"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35"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82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0"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tblHeader/>
          <w:jc w:val="center"/>
        </w:trPr>
        <w:tc>
          <w:tcPr>
            <w:tcW w:w="3863"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207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tblHeader/>
          <w:jc w:val="center"/>
        </w:trPr>
        <w:tc>
          <w:tcPr>
            <w:tcW w:w="1035"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p>
        </w:tc>
        <w:tc>
          <w:tcPr>
            <w:tcW w:w="28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p>
        </w:tc>
        <w:tc>
          <w:tcPr>
            <w:tcW w:w="2070"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8"/>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注：本表反映本年度政府性基金预算财政拨款收入、支出及结转和结余情况。</w:t>
            </w:r>
          </w:p>
        </w:tc>
      </w:tr>
    </w:tbl>
    <w:p>
      <w:pPr>
        <w:divId w:val="0"/>
        <w:keepNext w:val="0"/>
        <w:keepLines w:val="0"/>
        <w:widowControl/>
        <w:suppressLineNumbers w:val="0"/>
        <w:snapToGrid w:val="0"/>
        <w:ind w:left="-960" w:firstLine="0" w:leftChars="-400" w:firstLineChars="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天津经济技术开发区统计调查中心2025年度政府性基金预算财政拨款收入支出决算表为空表。</w:t>
      </w:r>
    </w:p>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2" w:name="_Toc11009"/>
      <w:r>
        <w:rPr>
          <w:rFonts w:ascii="黑体" w:eastAsia="黑体" w:hAnsi="黑体" w:hint="eastAsia"/>
          <w:b/>
          <w:bCs/>
          <w:sz w:val="30"/>
          <w:szCs w:val="30"/>
          <w:lang w:val="en-US" w:eastAsia="zh-CN"/>
        </w:rPr>
        <w:t xml:space="preserve">九、《国有资本经营预算财政拨款收入支出决算表》</w:t>
      </w:r>
      <w:bookmarkEnd w:id="12"/>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059"/>
        <w:gridCol w:w="4663"/>
        <w:gridCol w:w="1761"/>
        <w:gridCol w:w="1761"/>
        <w:gridCol w:w="1761"/>
        <w:gridCol w:w="1761"/>
        <w:gridCol w:w="1761"/>
        <w:gridCol w:w="1761"/>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tblHeader/>
          <w:jc w:val="center"/>
        </w:trPr>
        <w:tc>
          <w:tcPr>
            <w:tcW w:w="9244" w:type="dxa"/>
            <w:gridSpan w:val="4"/>
            <w:tcBorders>
              <w:top w:val="nil"/>
              <w:left w:val="nil"/>
              <w:bottom w:val="nil"/>
              <w:right w:val="nil"/>
            </w:tcBorders>
            <w:noWrap w:val="1"/>
            <w:vAlign w:val="center"/>
          </w:tcPr>
          <w:p>
            <w:pPr>
              <w:divId w:val="0"/>
              <w:snapToGrid w:val="0"/>
              <w:jc w:val="left"/>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天津经济技术开发区统计调查中心</w:t>
            </w:r>
          </w:p>
        </w:tc>
        <w:tc>
          <w:tcPr>
            <w:tcW w:w="1761" w:type="dxa"/>
            <w:tcBorders>
              <w:top w:val="nil"/>
              <w:left w:val="nil"/>
              <w:bottom w:val="nil"/>
              <w:right w:val="nil"/>
            </w:tcBorders>
            <w:vAlign w:val="center"/>
          </w:tcPr>
          <w:p>
            <w:pPr>
              <w:divId w:val="0"/>
              <w:snapToGrid w:val="0"/>
              <w:rPr>
                <w:rFonts w:ascii="宋体" w:eastAsia="宋体" w:hAnsi="宋体" w:cs="宋体" w:hint="eastAsia"/>
                <w:i w:val="0"/>
                <w:iCs w:val="0"/>
                <w:color w:val="000000"/>
                <w:sz w:val="20"/>
                <w:szCs w:val="20"/>
                <w:u w:val="none"/>
              </w:rPr>
            </w:pPr>
          </w:p>
        </w:tc>
        <w:tc>
          <w:tcPr>
            <w:tcW w:w="1761" w:type="dxa"/>
            <w:tcBorders>
              <w:top w:val="nil"/>
              <w:left w:val="nil"/>
              <w:bottom w:val="nil"/>
              <w:right w:val="nil"/>
            </w:tcBorders>
            <w:vAlign w:val="center"/>
          </w:tcPr>
          <w:p>
            <w:pPr>
              <w:divId w:val="0"/>
              <w:snapToGrid w:val="0"/>
              <w:rPr>
                <w:rFonts w:ascii="宋体" w:eastAsia="宋体" w:hAnsi="宋体" w:cs="宋体" w:hint="eastAsia"/>
                <w:i w:val="0"/>
                <w:iCs w:val="0"/>
                <w:color w:val="000000"/>
                <w:sz w:val="20"/>
                <w:szCs w:val="20"/>
                <w:u w:val="none"/>
              </w:rPr>
            </w:pPr>
          </w:p>
        </w:tc>
        <w:tc>
          <w:tcPr>
            <w:tcW w:w="1761" w:type="dxa"/>
            <w:tcBorders>
              <w:top w:val="nil"/>
              <w:left w:val="nil"/>
              <w:bottom w:val="nil"/>
              <w:right w:val="nil"/>
            </w:tcBorders>
            <w:vAlign w:val="center"/>
          </w:tcPr>
          <w:p>
            <w:pPr>
              <w:divId w:val="0"/>
              <w:snapToGrid w:val="0"/>
              <w:rPr>
                <w:rFonts w:ascii="宋体" w:eastAsia="宋体" w:hAnsi="宋体" w:cs="宋体" w:hint="eastAsia"/>
                <w:i w:val="0"/>
                <w:iCs w:val="0"/>
                <w:color w:val="000000"/>
                <w:sz w:val="20"/>
                <w:szCs w:val="20"/>
                <w:u w:val="none"/>
              </w:rPr>
            </w:pPr>
          </w:p>
        </w:tc>
        <w:tc>
          <w:tcPr>
            <w:tcW w:w="1761" w:type="dxa"/>
            <w:tcBorders>
              <w:top w:val="nil"/>
              <w:left w:val="nil"/>
              <w:bottom w:val="nil"/>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5722"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Style w:val="font11"/>
                <w:sz w:val="20"/>
                <w:szCs w:val="20"/>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年初结转和结余</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本年收入</w:t>
            </w:r>
          </w:p>
        </w:tc>
        <w:tc>
          <w:tcPr>
            <w:tcW w:w="5283" w:type="dxa"/>
            <w:gridSpan w:val="3"/>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年末结转和结余</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59"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4663"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基本支</w:t>
            </w:r>
            <w:r>
              <w:rPr>
                <w:rFonts w:ascii="宋体" w:eastAsia="宋体" w:hAnsi="宋体" w:cs="宋体" w:hint="eastAsia"/>
                <w:i w:val="0"/>
                <w:iCs w:val="0"/>
                <w:color w:val="000000"/>
                <w:kern w:val="0.0"/>
                <w:sz w:val="20"/>
                <w:szCs w:val="20"/>
                <w:u w:val="none"/>
                <w:lang w:val="en-US" w:eastAsia="zh-CN"/>
              </w:rPr>
              <w:t xml:space="preserve">出</w:t>
            </w:r>
            <w:r>
              <w:rPr>
                <w:rFonts w:ascii="宋体" w:eastAsia="宋体" w:hAnsi="宋体" w:cs="宋体" w:hint="eastAsia"/>
                <w:i w:val="0"/>
                <w:iCs w:val="0"/>
                <w:color w:val="000000"/>
                <w:kern w:val="0.0"/>
                <w:sz w:val="20"/>
                <w:szCs w:val="20"/>
                <w:u w:val="none"/>
                <w:lang w:val="en-US" w:eastAsia="zh-CN"/>
              </w:rPr>
              <w:t xml:space="preserve">  </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项目支出</w:t>
            </w: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59"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4663"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59"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4663"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tblHeader/>
          <w:jc w:val="center"/>
        </w:trPr>
        <w:tc>
          <w:tcPr>
            <w:tcW w:w="5722"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auto"/>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auto"/>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auto"/>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auto"/>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auto"/>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auto"/>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tblHeader/>
          <w:jc w:val="center"/>
        </w:trPr>
        <w:tc>
          <w:tcPr>
            <w:tcW w:w="105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p>
        </w:tc>
        <w:tc>
          <w:tcPr>
            <w:tcW w:w="466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6288" w:type="dxa"/>
            <w:gridSpan w:val="8"/>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注：本表反映本年度国有资本</w:t>
            </w:r>
            <w:r>
              <w:rPr>
                <w:rFonts w:ascii="宋体" w:eastAsia="宋体" w:hAnsi="宋体" w:cs="宋体" w:hint="eastAsia"/>
                <w:b w:val="0"/>
                <w:bCs w:val="0"/>
                <w:i w:val="0"/>
                <w:iCs w:val="0"/>
                <w:color w:val="000000"/>
                <w:kern w:val="0.0"/>
                <w:sz w:val="20"/>
                <w:szCs w:val="20"/>
                <w:u w:val="none"/>
                <w:lang w:val="en-US" w:eastAsia="zh-CN"/>
              </w:rPr>
              <w:t xml:space="preserve">经营预算财政拨款收入、支</w:t>
            </w:r>
            <w:r>
              <w:rPr>
                <w:rFonts w:ascii="宋体" w:eastAsia="宋体" w:hAnsi="宋体" w:cs="宋体" w:hint="eastAsia"/>
                <w:i w:val="0"/>
                <w:iCs w:val="0"/>
                <w:color w:val="000000"/>
                <w:kern w:val="0.0"/>
                <w:sz w:val="20"/>
                <w:szCs w:val="20"/>
                <w:u w:val="none"/>
                <w:lang w:val="en-US" w:eastAsia="zh-CN"/>
              </w:rPr>
              <w:t xml:space="preserve">出及结转和结余情况。</w:t>
            </w:r>
          </w:p>
        </w:tc>
      </w:tr>
    </w:tbl>
    <w:p>
      <w:pPr>
        <w:divId w:val="0"/>
        <w:keepNext w:val="0"/>
        <w:keepLines w:val="0"/>
        <w:widowControl/>
        <w:suppressLineNumbers w:val="0"/>
        <w:snapToGrid w:val="0"/>
        <w:ind w:left="-960" w:firstLine="0" w:leftChars="-400" w:firstLineChars="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天津经济技术开发区统计调查中心2025年度国有资本经营预算财政拨款收入支出决算表为空表。</w:t>
      </w:r>
    </w:p>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3" w:name="_Toc25214"/>
      <w:r>
        <w:rPr>
          <w:rFonts w:ascii="黑体" w:eastAsia="黑体" w:hAnsi="黑体" w:hint="eastAsia"/>
          <w:b/>
          <w:bCs/>
          <w:sz w:val="30"/>
          <w:szCs w:val="30"/>
          <w:lang w:val="en-US" w:eastAsia="zh-CN"/>
        </w:rPr>
        <w:t xml:space="preserve">十、《财政拨款“三公”经费支出决算表》</w:t>
      </w:r>
      <w:bookmarkEnd w:id="13"/>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2668"/>
        <w:gridCol w:w="3018"/>
        <w:gridCol w:w="2668"/>
        <w:gridCol w:w="2668"/>
        <w:gridCol w:w="2669"/>
        <w:gridCol w:w="2597"/>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9448" w:type="dxa"/>
            <w:gridSpan w:val="4"/>
            <w:tcBorders>
              <w:bottom w:val="single" w:sz="4" w:space="0" w:color="auto"/>
              <w:tl2br w:val="nil"/>
              <w:tr2bl w:val="nil"/>
            </w:tcBorders>
            <w:shd w:val="clear" w:color="auto" w:fill="FFFFFF"/>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天津经济技术开发区统计调查中心</w:t>
            </w:r>
          </w:p>
        </w:tc>
        <w:tc>
          <w:tcPr>
            <w:tcW w:w="2299" w:type="dxa"/>
            <w:tcBorders>
              <w:bottom w:val="single" w:sz="4" w:space="0" w:color="auto"/>
              <w:tl2br w:val="nil"/>
              <w:tr2bl w:val="nil"/>
            </w:tcBorders>
            <w:shd w:val="clear" w:color="auto" w:fill="FFFFFF"/>
            <w:vAlign w:val="center"/>
          </w:tcPr>
          <w:p>
            <w:pPr>
              <w:divId w:val="0"/>
              <w:snapToGrid w:val="0"/>
              <w:rPr>
                <w:rFonts w:ascii="宋体" w:eastAsia="宋体" w:hAnsi="宋体" w:cs="宋体" w:hint="eastAsia"/>
                <w:i w:val="0"/>
                <w:iCs w:val="0"/>
                <w:color w:val="000000"/>
                <w:sz w:val="20"/>
                <w:szCs w:val="20"/>
                <w:u w:val="none"/>
              </w:rPr>
            </w:pPr>
          </w:p>
        </w:tc>
        <w:tc>
          <w:tcPr>
            <w:tcW w:w="2299" w:type="dxa"/>
            <w:tcBorders>
              <w:bottom w:val="single" w:sz="4" w:space="0" w:color="auto"/>
              <w:tl2br w:val="nil"/>
              <w:tr2bl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2362" w:type="dxa"/>
            <w:vMerge w:val="restart"/>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2362" w:type="dxa"/>
            <w:vMerge w:val="restart"/>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因公出国（境）费</w:t>
            </w:r>
          </w:p>
        </w:tc>
        <w:tc>
          <w:tcPr>
            <w:tcW w:w="7087" w:type="dxa"/>
            <w:gridSpan w:val="3"/>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公务用车购置及运行维护费</w:t>
            </w:r>
          </w:p>
        </w:tc>
        <w:tc>
          <w:tcPr>
            <w:tcW w:w="2299" w:type="dxa"/>
            <w:vMerge w:val="restart"/>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公务接待费</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2362" w:type="dxa"/>
            <w:vMerge/>
            <w:tcBorders>
              <w:top w:val="single" w:sz="4" w:space="0" w:color="auto"/>
              <w:left w:val="single" w:sz="4" w:space="0" w:color="auto"/>
              <w:bottom w:val="single" w:sz="4" w:space="0" w:color="auto"/>
              <w:right w:val="single" w:sz="4" w:space="0" w:color="auto"/>
            </w:tcBorders>
            <w:vAlign w:val="center"/>
          </w:tcPr>
          <w:p>
            <w:pPr>
              <w:divId w:val="0"/>
              <w:snapToGrid w:val="0"/>
              <w:jc w:val="center"/>
              <w:rPr>
                <w:rFonts w:ascii="宋体" w:eastAsia="宋体" w:hAnsi="宋体" w:cs="宋体" w:hint="eastAsia"/>
                <w:i w:val="0"/>
                <w:iCs w:val="0"/>
                <w:color w:val="000000"/>
                <w:sz w:val="20"/>
                <w:szCs w:val="20"/>
                <w:u w:val="none"/>
              </w:rPr>
            </w:pPr>
          </w:p>
        </w:tc>
        <w:tc>
          <w:tcPr>
            <w:tcW w:w="2362" w:type="dxa"/>
            <w:vMerge/>
            <w:tcBorders>
              <w:top w:val="single" w:sz="4" w:space="0" w:color="auto"/>
              <w:left w:val="single" w:sz="4" w:space="0" w:color="auto"/>
              <w:bottom w:val="single" w:sz="4" w:space="0" w:color="auto"/>
              <w:right w:val="single" w:sz="4" w:space="0" w:color="auto"/>
            </w:tcBorders>
            <w:vAlign w:val="center"/>
          </w:tcPr>
          <w:p>
            <w:pPr>
              <w:divId w:val="0"/>
              <w:snapToGrid w:val="0"/>
              <w:jc w:val="center"/>
              <w:rPr>
                <w:rFonts w:ascii="宋体" w:eastAsia="宋体" w:hAnsi="宋体" w:cs="宋体" w:hint="eastAsia"/>
                <w:i w:val="0"/>
                <w:iCs w:val="0"/>
                <w:color w:val="000000"/>
                <w:sz w:val="20"/>
                <w:szCs w:val="20"/>
                <w:u w:val="none"/>
              </w:rPr>
            </w:pPr>
          </w:p>
        </w:tc>
        <w:tc>
          <w:tcPr>
            <w:tcW w:w="2362"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小计</w:t>
            </w:r>
          </w:p>
        </w:tc>
        <w:tc>
          <w:tcPr>
            <w:tcW w:w="2362"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公务用车</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购置费</w:t>
            </w: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公务用车</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运行维护费</w:t>
            </w:r>
          </w:p>
        </w:tc>
        <w:tc>
          <w:tcPr>
            <w:tcW w:w="2299" w:type="dxa"/>
            <w:vMerge/>
            <w:tcBorders>
              <w:top w:val="single" w:sz="4" w:space="0" w:color="auto"/>
              <w:left w:val="single" w:sz="4" w:space="0" w:color="auto"/>
              <w:bottom w:val="single" w:sz="4" w:space="0" w:color="auto"/>
              <w:right w:val="single" w:sz="4" w:space="0" w:color="auto"/>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2298"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672"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301"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4168" w:type="dxa"/>
            <w:gridSpan w:val="6"/>
            <w:tcBorders>
              <w:top w:val="single" w:sz="4" w:space="0" w:color="auto"/>
              <w:tl2br w:val="nil"/>
              <w:tr2bl w:val="nil"/>
            </w:tcBorders>
            <w:vAlign w:val="center"/>
          </w:tcPr>
          <w:p>
            <w:pPr>
              <w:divId w:val="0"/>
              <w:snapToGrid w:val="0"/>
              <w:jc w:val="left"/>
              <w:rPr>
                <w:rFonts w:ascii="等线" w:eastAsia="等线" w:hAnsi="等线" w:cs="等线"/>
                <w:b w:val="0"/>
                <w:bCs w:val="0"/>
                <w:i w:val="0"/>
                <w:iCs w:val="0"/>
                <w:color w:val="333333"/>
                <w:spacing w:val="0"/>
                <w:w w:val="100"/>
                <w:sz w:val="20"/>
                <w:szCs w:val="20"/>
                <w:vertAlign w:val="baseline"/>
              </w:rPr>
            </w:pPr>
            <w:r>
              <w:rPr>
                <w:rFonts w:ascii="宋体" w:eastAsia="宋体" w:hAnsi="宋体" w:cs="宋体" w:hint="eastAsia"/>
                <w:i w:val="0"/>
                <w:iCs w:val="0"/>
                <w:color w:val="000000"/>
                <w:kern w:val="0.0"/>
                <w:sz w:val="20"/>
                <w:szCs w:val="20"/>
                <w:u w:val="none"/>
                <w:lang w:val="en-US" w:eastAsia="zh-CN"/>
              </w:rPr>
              <w:t xml:space="preserve">注：本表反映本年度一般公共预算和政府性基金预</w:t>
            </w:r>
            <w:r>
              <w:rPr>
                <w:rFonts w:ascii="宋体" w:eastAsia="宋体" w:hAnsi="宋体" w:cs="宋体" w:hint="eastAsia"/>
                <w:i w:val="0"/>
                <w:iCs w:val="0"/>
                <w:color w:val="000000"/>
                <w:kern w:val="0.0"/>
                <w:sz w:val="20"/>
                <w:szCs w:val="20"/>
                <w:u w:val="none"/>
                <w:lang w:val="en-US" w:eastAsia="zh-CN"/>
              </w:rPr>
              <w:t xml:space="preserve">算</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三</w:t>
            </w:r>
            <w:r>
              <w:rPr>
                <w:rFonts w:ascii="宋体" w:eastAsia="宋体" w:hAnsi="宋体" w:cs="宋体" w:hint="eastAsia"/>
                <w:i w:val="0"/>
                <w:iCs w:val="0"/>
                <w:color w:val="000000"/>
                <w:kern w:val="0.0"/>
                <w:sz w:val="20"/>
                <w:szCs w:val="20"/>
                <w:u w:val="none"/>
                <w:lang w:val="en-US" w:eastAsia="zh-CN"/>
              </w:rPr>
              <w:t xml:space="preserve">公</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经费支出决算情况。</w:t>
            </w:r>
          </w:p>
        </w:tc>
      </w:tr>
    </w:tbl>
    <w:p>
      <w:pPr>
        <w:divId w:val="0"/>
        <w:snapToGrid w:val="0"/>
        <w:ind w:left="-960" w:firstLine="0" w:leftChars="-40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天津经济技术开发区统计调查中心2025年财政拨款“三公”经费支出决算表为空表。</w:t>
      </w:r>
    </w:p>
    <w:p>
      <w:pPr>
        <w:pStyle w:val="标题2"/>
        <w:wordWrap w:val="0"/>
        <w:spacing w:before="0" w:after="0" w:line="800" w:lineRule="exact"/>
        <w:ind w:firstLine="600" w:firstLineChars="200"/>
        <w:rPr>
          <w:rFonts w:ascii="黑体" w:eastAsia="黑体" w:hAnsi="黑体" w:hint="eastAsia"/>
          <w:b w:val="0"/>
          <w:sz w:val="30"/>
          <w:szCs w:val="30"/>
          <w:highlight w:val="none"/>
        </w:rPr>
      </w:pPr>
      <w:r>
        <w:rPr>
          <w:rFonts w:ascii="黑体" w:eastAsia="黑体" w:hAnsi="仿宋" w:hint="eastAsia"/>
          <w:sz w:val="21"/>
          <w:szCs w:val="21"/>
          <w:lang w:val="en-US" w:eastAsia="zh-CN"/>
        </w:rPr>
        <w:br w:type="page"/>
      </w:r>
      <w:bookmarkStart w:id="14" w:name="_Toc18972"/>
      <w:r>
        <w:rPr>
          <w:rFonts w:ascii="黑体" w:eastAsia="黑体" w:hAnsi="黑体" w:hint="eastAsia"/>
          <w:b/>
          <w:bCs/>
          <w:sz w:val="30"/>
          <w:szCs w:val="30"/>
          <w:lang w:val="en-US" w:eastAsia="zh-CN"/>
        </w:rPr>
        <w:t xml:space="preserve">十一、《项目支出决算表》</w:t>
      </w:r>
      <w:bookmarkEnd w:id="14"/>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131"/>
        <w:gridCol w:w="2838"/>
        <w:gridCol w:w="2053"/>
        <w:gridCol w:w="2053"/>
        <w:gridCol w:w="2053"/>
        <w:gridCol w:w="2053"/>
        <w:gridCol w:w="2053"/>
        <w:gridCol w:w="2054"/>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val="567"/>
          <w:jc w:val="center"/>
        </w:trPr>
        <w:tc>
          <w:tcPr>
            <w:tcW w:w="8075" w:type="dxa"/>
            <w:gridSpan w:val="4"/>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天津经济技术开发区统计调查中心</w:t>
            </w:r>
          </w:p>
        </w:tc>
        <w:tc>
          <w:tcPr>
            <w:tcW w:w="2053"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2053"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4107" w:type="dxa"/>
            <w:gridSpan w:val="2"/>
            <w:tcBorders>
              <w:top w:val="nil"/>
              <w:left w:val="nil"/>
              <w:bottom w:val="nil"/>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131" w:type="dxa"/>
            <w:vMerge w:val="restart"/>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838" w:type="dxa"/>
            <w:vMerge w:val="restart"/>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2319" w:type="dxa"/>
            <w:gridSpan w:val="6"/>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年</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支</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出</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131" w:type="dxa"/>
            <w:vMerge/>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center"/>
              <w:rPr>
                <w:rFonts w:ascii="宋体" w:eastAsia="宋体" w:hAnsi="宋体" w:cs="宋体" w:hint="eastAsia"/>
                <w:i w:val="0"/>
                <w:iCs w:val="0"/>
                <w:color w:val="000000"/>
                <w:sz w:val="20"/>
                <w:szCs w:val="20"/>
                <w:u w:val="none"/>
              </w:rPr>
            </w:pPr>
          </w:p>
        </w:tc>
        <w:tc>
          <w:tcPr>
            <w:tcW w:w="2838" w:type="dxa"/>
            <w:vMerge/>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center"/>
              <w:rPr>
                <w:rFonts w:ascii="宋体" w:eastAsia="宋体" w:hAnsi="宋体" w:cs="宋体" w:hint="eastAsia"/>
                <w:i w:val="0"/>
                <w:iCs w:val="0"/>
                <w:color w:val="000000"/>
                <w:sz w:val="20"/>
                <w:szCs w:val="20"/>
                <w:u w:val="none"/>
              </w:rPr>
            </w:pP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计</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一般公共</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预算</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政府性基金</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预算</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国有资本</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经营预算</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财政专户</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管理资金</w:t>
            </w:r>
          </w:p>
        </w:tc>
        <w:tc>
          <w:tcPr>
            <w:tcW w:w="20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单位资金</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969"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计</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highlight w:val="none"/>
                <w:u w:val="none"/>
                <w:lang w:val="en-US" w:eastAsia="zh-CN"/>
              </w:rPr>
              <w:t xml:space="preserve">3130000.00</w:t>
            </w: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highlight w:val="none"/>
                <w:u w:val="none"/>
                <w:lang w:val="en-US" w:eastAsia="zh-CN"/>
              </w:rPr>
              <w:t xml:space="preserve">3130000.00</w:t>
            </w: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0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201</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一般公共服务支出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3130000.00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3130000.00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20103</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政府办公厅（室）及相关机构事务</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1130000.00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1130000.00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2010302</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1130000.00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1130000.00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20105</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统计信息事务</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2000000.00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2000000.00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2010507</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2000000.00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2000000.00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6288" w:type="dxa"/>
            <w:gridSpan w:val="8"/>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注：本表反映本年度项目支出决算情况，其中支出数包括当年预算资金和以前年度结转资金安排的合计实际支出。</w:t>
            </w:r>
          </w:p>
        </w:tc>
      </w:tr>
    </w:tbl>
    <w:p>
      <w:pPr>
        <w:sectPr>
          <w:footerReference w:type="default" r:id="rId7"/>
          <w:pgSz w:w="16838" w:h="11906" w:orient="landscape"/>
          <w:pgMar w:top="1800" w:right="1440" w:bottom="1800" w:left="144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textDirection w:val="lrTb"/>
          <w:docGrid w:type="lines" w:linePitch="312" w:charSpace="0"/>
        </w:sectPr>
      </w:pPr>
    </w:p>
    <w:p>
      <w:pPr>
        <w:pStyle w:val="标题1"/>
        <w:wordWrap w:val="0"/>
        <w:spacing w:before="0" w:after="0" w:line="600" w:lineRule="exact"/>
        <w:jc w:val="center"/>
        <w:rPr>
          <w:rFonts w:ascii="方正小标宋简体" w:eastAsia="方正小标宋简体" w:hAnsi="方正小标宋简体" w:cs="方正小标宋简体"/>
          <w:b w:val="0"/>
          <w:sz w:val="44"/>
          <w:szCs w:val="44"/>
          <w:highlight w:val="none"/>
        </w:rPr>
      </w:pPr>
      <w:bookmarkStart w:id="15" w:name="_Toc7922"/>
      <w:r>
        <w:rPr>
          <w:rFonts w:ascii="方正小标宋简体" w:eastAsia="方正小标宋简体" w:hAnsi="方正小标宋简体" w:cs="方正小标宋简体" w:hint="eastAsia"/>
          <w:b w:val="0"/>
          <w:bCs w:val="0"/>
          <w:lang w:val="en-US" w:eastAsia="zh-CN"/>
        </w:rPr>
        <w:t xml:space="preserve">第三部分  2025年度部门决算情况说明</w:t>
      </w:r>
      <w:bookmarkEnd w:id="15"/>
    </w:p>
    <w:p>
      <w:pPr>
        <w:divId w:val="0"/>
        <w:spacing w:line="600" w:lineRule="exact"/>
        <w:ind w:firstLine="600" w:firstLineChars="200"/>
        <w:rPr>
          <w:rFonts w:ascii="黑体" w:eastAsia="黑体" w:hint="eastAsia"/>
          <w:sz w:val="30"/>
          <w:szCs w:val="30"/>
          <w:highlight w:val="none"/>
        </w:rPr>
      </w:pPr>
    </w:p>
    <w:p>
      <w:pPr>
        <w:pStyle w:val="标题2"/>
        <w:wordWrap w:val="0"/>
        <w:spacing w:before="0" w:after="0" w:line="600" w:lineRule="exact"/>
        <w:ind w:firstLine="600" w:firstLineChars="200"/>
        <w:rPr>
          <w:rFonts w:ascii="黑体" w:eastAsia="黑体" w:hAnsi="黑体" w:cs="方正仿宋_GB2312" w:hint="eastAsia"/>
          <w:bCs w:val="0"/>
          <w:sz w:val="30"/>
          <w:szCs w:val="30"/>
          <w:lang w:val="en-US" w:eastAsia="zh-CN"/>
        </w:rPr>
      </w:pPr>
      <w:bookmarkStart w:id="16" w:name="_Toc7052"/>
      <w:r>
        <w:rPr>
          <w:rFonts w:ascii="黑体" w:eastAsia="黑体" w:hAnsi="黑体" w:cs="方正仿宋_GB2312" w:hint="eastAsia"/>
          <w:bCs w:val="0"/>
          <w:sz w:val="30"/>
          <w:szCs w:val="30"/>
          <w:lang w:val="en-US" w:eastAsia="zh-CN"/>
        </w:rPr>
        <w:t xml:space="preserve">一、收入支出决算总体情况说明</w:t>
      </w:r>
      <w:bookmarkEnd w:id="16"/>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天津经济技术开发区统计调查中心</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年度收入、支出决算总</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5,964,906.84</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年度相比，收、支总计</w:t>
      </w:r>
      <w:r>
        <w:rPr>
          <w:rFonts w:eastAsia="仿宋_GB2312" w:hint="eastAsia"/>
          <w:sz w:val="30"/>
          <w:szCs w:val="30"/>
          <w:highlight w:val="none"/>
          <w:lang w:val="en-US" w:eastAsia="zh-CN"/>
        </w:rPr>
        <w:t xml:space="preserve">各</w:t>
      </w:r>
      <w:r>
        <w:rPr>
          <w:rFonts w:eastAsia="仿宋_GB2312" w:hint="eastAsia"/>
          <w:sz w:val="30"/>
          <w:szCs w:val="30"/>
          <w:highlight w:val="none"/>
          <w:lang w:val="en-US" w:eastAsia="zh-CN"/>
        </w:rPr>
        <w:t xml:space="preserve">增加317,203.60元，增长5.62%</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五经普项目按照履约进度在本年度支付款项较上年度增加，因而整体收入和支出较上年度增加</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收入包括：</w:t>
      </w:r>
      <w:r>
        <w:rPr>
          <w:rFonts w:eastAsia="仿宋_GB2312" w:hint="eastAsia"/>
          <w:sz w:val="30"/>
          <w:szCs w:val="30"/>
          <w:highlight w:val="none"/>
          <w:lang w:val="en-US" w:eastAsia="zh-CN"/>
        </w:rPr>
        <w:t xml:space="preserve">一般公共预算财政拨款收入5,964,906.84元</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bookmarkStart w:id="17" w:name="_Toc6621"/>
      <w:r>
        <w:rPr>
          <w:rFonts w:eastAsia="仿宋_GB2312" w:hint="eastAsia"/>
          <w:sz w:val="30"/>
          <w:szCs w:val="30"/>
          <w:highlight w:val="none"/>
          <w:lang w:val="en-US" w:eastAsia="zh-CN"/>
        </w:rPr>
        <w:t xml:space="preserve">支出包括：</w:t>
      </w:r>
      <w:r>
        <w:rPr>
          <w:rFonts w:eastAsia="仿宋_GB2312" w:hint="eastAsia"/>
          <w:sz w:val="30"/>
          <w:szCs w:val="30"/>
          <w:highlight w:val="none"/>
          <w:lang w:val="en-US" w:eastAsia="zh-CN"/>
        </w:rPr>
        <w:t xml:space="preserve">一般公共服务支出5,964,906.84元</w:t>
      </w:r>
      <w:r>
        <w:rPr>
          <w:rFonts w:eastAsia="仿宋_GB2312" w:hint="eastAsia"/>
          <w:sz w:val="30"/>
          <w:szCs w:val="30"/>
          <w:highlight w:val="none"/>
          <w:lang w:val="en-US" w:eastAsia="zh-CN"/>
        </w:rPr>
        <w:t xml:space="preserve">。</w:t>
      </w:r>
    </w:p>
    <w:p>
      <w:pPr>
        <w:pStyle w:val="标题2"/>
        <w:wordWrap w:val="0"/>
        <w:spacing w:before="0" w:after="0" w:line="600" w:lineRule="exact"/>
        <w:ind w:firstLine="600" w:firstLineChars="200"/>
        <w:rPr>
          <w:rFonts w:ascii="黑体" w:eastAsia="黑体" w:hAnsi="黑体" w:cs="方正仿宋_GB2312" w:hint="eastAsia"/>
          <w:bCs w:val="0"/>
          <w:sz w:val="30"/>
          <w:szCs w:val="30"/>
          <w:lang w:val="en-US" w:eastAsia="zh-CN"/>
        </w:rPr>
      </w:pPr>
      <w:r>
        <w:rPr>
          <w:rFonts w:ascii="黑体" w:eastAsia="黑体" w:hAnsi="黑体" w:cs="方正仿宋_GB2312" w:hint="eastAsia"/>
          <w:bCs w:val="0"/>
          <w:sz w:val="30"/>
          <w:szCs w:val="30"/>
          <w:lang w:val="en-US" w:eastAsia="zh-CN"/>
        </w:rPr>
        <w:t xml:space="preserve">二、收入决算情况说明</w:t>
      </w:r>
      <w:bookmarkEnd w:id="17"/>
    </w:p>
    <w:p>
      <w:pPr>
        <w:divId w:val="0"/>
        <w:spacing w:line="600" w:lineRule="exact"/>
        <w:ind w:firstLine="600"/>
        <w:rPr>
          <w:rFonts w:eastAsia="仿宋_GB2312" w:hint="eastAsia"/>
          <w:sz w:val="30"/>
          <w:szCs w:val="30"/>
          <w:highlight w:val="yellow"/>
          <w:lang w:val="en-US" w:eastAsia="zh-CN"/>
        </w:rPr>
      </w:pPr>
      <w:r>
        <w:rPr>
          <w:rFonts w:eastAsia="仿宋_GB2312" w:hint="eastAsia"/>
          <w:sz w:val="30"/>
          <w:szCs w:val="30"/>
          <w:highlight w:val="none"/>
          <w:lang w:val="en-US" w:eastAsia="zh-CN"/>
        </w:rPr>
        <w:t xml:space="preserve">天津经济技术开发区统计调查中心</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年度本年收入合</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5,964,906.84</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增加317,203.60元，</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五经普项目按照履约进度在本年度支付款项较上年度增加，因而整体收入较上年度增加</w:t>
      </w:r>
      <w:r>
        <w:rPr>
          <w:rFonts w:eastAsia="仿宋_GB2312" w:hint="eastAsia"/>
          <w:sz w:val="30"/>
          <w:szCs w:val="30"/>
          <w:highlight w:val="none"/>
          <w:lang w:val="en-US" w:eastAsia="zh-CN"/>
        </w:rPr>
        <w:t xml:space="preserve">。其中：</w:t>
      </w:r>
      <w:r>
        <w:rPr>
          <w:rFonts w:eastAsia="仿宋_GB2312" w:hint="eastAsia"/>
          <w:sz w:val="30"/>
          <w:szCs w:val="30"/>
          <w:highlight w:val="none"/>
          <w:lang w:val="en-US" w:eastAsia="zh-CN"/>
        </w:rPr>
        <w:t xml:space="preserve">一般公共预算财政拨款收入5,964,906.84元，占100.00%</w:t>
      </w:r>
      <w:r>
        <w:rPr>
          <w:rFonts w:eastAsia="仿宋_GB2312" w:hint="eastAsia"/>
          <w:sz w:val="30"/>
          <w:szCs w:val="30"/>
          <w:highlight w:val="none"/>
          <w:lang w:val="en-US" w:eastAsia="zh-CN"/>
        </w:rPr>
        <w:t xml:space="preserve">。</w:t>
      </w:r>
    </w:p>
    <w:p>
      <w:pPr>
        <w:pStyle w:val="标题2"/>
        <w:pageBreakBefore w:val="0"/>
        <w:kinsoku/>
        <w:wordWrap/>
        <w:overflowPunct/>
        <w:topLinePunct w:val="0"/>
        <w:autoSpaceDE/>
        <w:autoSpaceDN/>
        <w:bidi w:val="0"/>
        <w:snapToGrid/>
        <w:spacing w:before="0" w:after="0" w:line="600" w:lineRule="exact"/>
        <w:ind w:firstLine="600" w:firstLineChars="200"/>
        <w:outlineLvl w:val="0"/>
        <w:rPr>
          <w:rFonts w:ascii="黑体" w:eastAsia="黑体" w:hAnsi="黑体" w:cs="方正仿宋_GB2312" w:hint="eastAsia"/>
          <w:bCs w:val="0"/>
          <w:sz w:val="30"/>
          <w:szCs w:val="30"/>
          <w:highlight w:val="none"/>
          <w:u w:val="none"/>
          <w:lang w:val="en-US" w:eastAsia="zh-CN"/>
        </w:rPr>
      </w:pPr>
      <w:bookmarkStart w:id="18" w:name="_Toc21049"/>
      <w:r>
        <w:rPr>
          <w:rFonts w:ascii="黑体" w:eastAsia="黑体" w:hAnsi="黑体" w:cs="方正仿宋_GB2312" w:hint="eastAsia"/>
          <w:bCs w:val="0"/>
          <w:sz w:val="30"/>
          <w:szCs w:val="30"/>
          <w:highlight w:val="none"/>
          <w:u w:val="none"/>
          <w:lang w:val="en-US" w:eastAsia="zh-CN"/>
        </w:rPr>
        <w:t xml:space="preserve">三、支出决算情况说明</w:t>
      </w:r>
      <w:bookmarkEnd w:id="18"/>
    </w:p>
    <w:p>
      <w:pPr>
        <w:divId w:val="0"/>
        <w:spacing w:line="600" w:lineRule="exact"/>
        <w:ind w:firstLine="600" w:firstLineChars="200"/>
        <w:rPr>
          <w:rFonts w:eastAsia="仿宋_GB2312" w:hint="eastAsia"/>
          <w:sz w:val="30"/>
          <w:szCs w:val="30"/>
          <w:highlight w:val="yellow"/>
          <w:lang w:val="en-US" w:eastAsia="zh-CN"/>
        </w:rPr>
      </w:pPr>
      <w:r>
        <w:rPr>
          <w:rFonts w:eastAsia="仿宋_GB2312" w:hint="eastAsia"/>
          <w:sz w:val="30"/>
          <w:szCs w:val="30"/>
          <w:highlight w:val="none"/>
          <w:lang w:val="en-US" w:eastAsia="zh-CN"/>
        </w:rPr>
        <w:t xml:space="preserve">天津经济技术开发区统计调查中心</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年度本年支出合</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5,964,906.84</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增加317,203.60元，</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五经普项目按照履约进度在本年度支付款项较上年度增加，因而整体支出较上年度增加</w:t>
      </w:r>
      <w:r>
        <w:rPr>
          <w:rFonts w:eastAsia="仿宋_GB2312" w:hint="eastAsia"/>
          <w:sz w:val="30"/>
          <w:szCs w:val="30"/>
          <w:highlight w:val="none"/>
          <w:lang w:val="en-US" w:eastAsia="zh-CN"/>
        </w:rPr>
        <w:t xml:space="preserve">。其中：</w:t>
      </w:r>
      <w:r>
        <w:rPr>
          <w:rFonts w:eastAsia="仿宋_GB2312" w:hint="eastAsia"/>
          <w:sz w:val="30"/>
          <w:szCs w:val="30"/>
          <w:highlight w:val="none"/>
        </w:rPr>
        <w:t xml:space="preserve">基本支出2,834,906.84元，占47.53%；项目支出3,130,000.00元，占52.47%</w:t>
      </w:r>
      <w:r>
        <w:rPr>
          <w:rFonts w:eastAsia="仿宋_GB2312" w:hint="eastAsia"/>
          <w:sz w:val="30"/>
          <w:szCs w:val="30"/>
          <w:highlight w:val="none"/>
        </w:rPr>
        <w:t xml:space="preserve">。</w:t>
      </w:r>
    </w:p>
    <w:p>
      <w:pPr>
        <w:pStyle w:val="标题2"/>
        <w:pageBreakBefore w:val="0"/>
        <w:kinsoku/>
        <w:wordWrap/>
        <w:overflowPunct/>
        <w:topLinePunct w:val="0"/>
        <w:autoSpaceDE/>
        <w:autoSpaceDN/>
        <w:bidi w:val="0"/>
        <w:snapToGrid/>
        <w:spacing w:before="0" w:after="0" w:line="600" w:lineRule="exact"/>
        <w:ind w:firstLine="600" w:firstLineChars="200"/>
        <w:outlineLvl w:val="0"/>
        <w:rPr>
          <w:rFonts w:ascii="黑体" w:eastAsia="黑体" w:hAnsi="黑体" w:cs="方正仿宋_GB2312" w:hint="eastAsia"/>
          <w:bCs w:val="0"/>
          <w:sz w:val="30"/>
          <w:szCs w:val="30"/>
          <w:highlight w:val="none"/>
          <w:u w:val="none"/>
          <w:lang w:val="en-US" w:eastAsia="zh-CN"/>
        </w:rPr>
      </w:pPr>
      <w:bookmarkStart w:id="19" w:name="_Toc8231"/>
      <w:r>
        <w:rPr>
          <w:rFonts w:ascii="黑体" w:eastAsia="黑体" w:hAnsi="黑体" w:cs="方正仿宋_GB2312" w:hint="eastAsia"/>
          <w:bCs w:val="0"/>
          <w:sz w:val="30"/>
          <w:szCs w:val="30"/>
          <w:highlight w:val="none"/>
          <w:u w:val="none"/>
          <w:lang w:val="en-US" w:eastAsia="zh-CN"/>
        </w:rPr>
        <w:t xml:space="preserve">四、财政拨款收支决算总体情况说明</w:t>
      </w:r>
      <w:bookmarkEnd w:id="19"/>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天津经济技术开发区统计调查中心</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年度财政拨款收入、支出决算总</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5,964,906.84</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年度相比，财政拨款收、支总计</w:t>
      </w:r>
      <w:r>
        <w:rPr>
          <w:rFonts w:eastAsia="仿宋_GB2312" w:hint="eastAsia"/>
          <w:sz w:val="30"/>
          <w:szCs w:val="30"/>
          <w:highlight w:val="none"/>
          <w:lang w:val="en-US" w:eastAsia="zh-CN"/>
        </w:rPr>
        <w:t xml:space="preserve">各</w:t>
      </w:r>
      <w:r>
        <w:rPr>
          <w:rFonts w:eastAsia="仿宋_GB2312" w:hint="eastAsia"/>
          <w:sz w:val="30"/>
          <w:szCs w:val="30"/>
          <w:highlight w:val="none"/>
          <w:lang w:val="en-US" w:eastAsia="zh-CN"/>
        </w:rPr>
        <w:t xml:space="preserve">增加317,203.60元，增长5.62%，</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五经普项目按照履约进度在本年度支付款项较上年度增加，因而整体收支较上年度增加</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收入包括：</w:t>
      </w:r>
      <w:r>
        <w:rPr>
          <w:rFonts w:eastAsia="仿宋_GB2312" w:hint="eastAsia"/>
          <w:sz w:val="30"/>
          <w:szCs w:val="30"/>
          <w:highlight w:val="none"/>
          <w:lang w:val="en-US" w:eastAsia="zh-CN"/>
        </w:rPr>
        <w:t xml:space="preserve">一般公共预算财政拨款5,964,906.84元</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支出包括：</w:t>
      </w:r>
      <w:r>
        <w:rPr>
          <w:rFonts w:eastAsia="仿宋_GB2312" w:hint="eastAsia"/>
          <w:sz w:val="30"/>
          <w:szCs w:val="30"/>
          <w:highlight w:val="none"/>
          <w:lang w:val="en-US" w:eastAsia="zh-CN"/>
        </w:rPr>
        <w:t xml:space="preserve">一般公共服务支出5,964,906.84元</w:t>
      </w:r>
      <w:r>
        <w:rPr>
          <w:rFonts w:eastAsia="仿宋_GB2312" w:hint="eastAsia"/>
          <w:sz w:val="30"/>
          <w:szCs w:val="30"/>
          <w:highlight w:val="none"/>
          <w:lang w:val="en-US" w:eastAsia="zh-CN"/>
        </w:rPr>
        <w:t xml:space="preserve">。</w:t>
      </w:r>
    </w:p>
    <w:p>
      <w:pPr>
        <w:pStyle w:val="标题2"/>
        <w:pageBreakBefore w:val="0"/>
        <w:kinsoku/>
        <w:wordWrap/>
        <w:overflowPunct/>
        <w:topLinePunct w:val="0"/>
        <w:autoSpaceDE/>
        <w:autoSpaceDN/>
        <w:bidi w:val="0"/>
        <w:snapToGrid/>
        <w:spacing w:before="0" w:after="0" w:line="600" w:lineRule="exact"/>
        <w:ind w:firstLine="600" w:firstLineChars="200"/>
        <w:outlineLvl w:val="0"/>
        <w:rPr>
          <w:rFonts w:ascii="黑体" w:eastAsia="黑体" w:hAnsi="黑体" w:cs="方正仿宋_GB2312" w:hint="eastAsia"/>
          <w:bCs w:val="0"/>
          <w:sz w:val="30"/>
          <w:szCs w:val="30"/>
          <w:highlight w:val="none"/>
          <w:u w:val="none"/>
          <w:lang w:val="en-US" w:eastAsia="zh-CN"/>
        </w:rPr>
      </w:pPr>
      <w:bookmarkStart w:id="20" w:name="_Toc24201"/>
      <w:r>
        <w:rPr>
          <w:rFonts w:ascii="黑体" w:eastAsia="黑体" w:hAnsi="黑体" w:cs="方正仿宋_GB2312" w:hint="eastAsia"/>
          <w:bCs w:val="0"/>
          <w:sz w:val="30"/>
          <w:szCs w:val="30"/>
          <w:highlight w:val="none"/>
          <w:u w:val="none"/>
          <w:lang w:val="en-US" w:eastAsia="zh-CN"/>
        </w:rPr>
        <w:t xml:space="preserve">五、一般公共预算财政拨款支出决算情况说明</w:t>
      </w:r>
      <w:bookmarkEnd w:id="20"/>
    </w:p>
    <w:p>
      <w:pPr>
        <w:divId w:val="0"/>
        <w:spacing w:line="600" w:lineRule="exact"/>
        <w:ind w:left="480" w:leftChars="200"/>
        <w:rPr>
          <w:rFonts w:ascii="楷体" w:eastAsia="楷体" w:hAnsi="楷体" w:cs="方正仿宋_GB2312" w:hint="eastAsia"/>
          <w:b/>
          <w:sz w:val="30"/>
          <w:szCs w:val="30"/>
          <w:highlight w:val="none"/>
        </w:rPr>
      </w:pPr>
      <w:r>
        <w:rPr>
          <w:rFonts w:ascii="楷体" w:eastAsia="楷体" w:hAnsi="楷体" w:cs="方正仿宋_GB2312" w:hint="eastAsia"/>
          <w:b/>
          <w:sz w:val="30"/>
          <w:szCs w:val="30"/>
          <w:lang w:val="en-US" w:eastAsia="zh-CN"/>
        </w:rPr>
        <w:t xml:space="preserve">（一）总体情况</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天津经济技术开发区统计调查中心2025年度一般公共预算财政拨款支出合计5,964,906.84元，占本年支出合计的100.00%。与2024年度相比，一般公共预算财政拨款支出</w:t>
      </w:r>
      <w:r>
        <w:rPr>
          <w:rFonts w:eastAsia="仿宋_GB2312" w:hint="eastAsia"/>
          <w:sz w:val="30"/>
          <w:szCs w:val="30"/>
          <w:highlight w:val="none"/>
          <w:lang w:val="en-US" w:eastAsia="zh-CN"/>
        </w:rPr>
        <w:t xml:space="preserve">增加317,203.60元</w:t>
      </w:r>
      <w:r>
        <w:rPr>
          <w:rFonts w:eastAsia="仿宋_GB2312" w:hint="eastAsia"/>
          <w:sz w:val="30"/>
          <w:szCs w:val="30"/>
          <w:highlight w:val="none"/>
          <w:lang w:val="en-US" w:eastAsia="zh-CN"/>
        </w:rPr>
        <w:t xml:space="preserve">，增长5.62%</w:t>
      </w:r>
      <w:r>
        <w:rPr>
          <w:rFonts w:eastAsia="仿宋_GB2312" w:hint="eastAsia"/>
          <w:sz w:val="30"/>
          <w:szCs w:val="30"/>
          <w:highlight w:val="none"/>
          <w:lang w:val="en-US" w:eastAsia="zh-CN"/>
        </w:rPr>
        <w:t xml:space="preserve">，主要原因是五经普项目按照履约进度在本年度支付款项较上年度增加。</w:t>
      </w:r>
    </w:p>
    <w:p>
      <w:pPr>
        <w:divId w:val="0"/>
        <w:spacing w:line="600" w:lineRule="exact"/>
        <w:ind w:firstLine="600" w:firstLineChars="200"/>
        <w:rPr>
          <w:rFonts w:ascii="楷体" w:eastAsia="楷体" w:hAnsi="楷体" w:cs="方正仿宋_GB2312" w:hint="eastAsia"/>
          <w:b/>
          <w:sz w:val="30"/>
          <w:szCs w:val="30"/>
          <w:highlight w:val="none"/>
          <w:lang w:val="en-US" w:eastAsia="zh-CN"/>
        </w:rPr>
      </w:pPr>
      <w:r>
        <w:rPr>
          <w:rFonts w:ascii="楷体" w:eastAsia="楷体" w:hAnsi="楷体" w:cs="方正仿宋_GB2312" w:hint="eastAsia"/>
          <w:b/>
          <w:sz w:val="30"/>
          <w:szCs w:val="30"/>
          <w:lang w:val="en-US" w:eastAsia="zh-CN"/>
        </w:rPr>
        <w:t xml:space="preserve">（二）支出结构情况</w:t>
      </w:r>
    </w:p>
    <w:p>
      <w:pPr>
        <w:divId w:val="0"/>
        <w:spacing w:line="600" w:lineRule="exact"/>
        <w:ind w:firstLine="600" w:firstLineChars="200"/>
        <w:rPr>
          <w:rFonts w:eastAsia="仿宋_GB2312"/>
          <w:sz w:val="30"/>
          <w:szCs w:val="30"/>
          <w:highlight w:val="none"/>
        </w:rPr>
      </w:pPr>
      <w:r>
        <w:rPr>
          <w:rFonts w:eastAsia="仿宋_GB2312" w:hint="eastAsia"/>
          <w:sz w:val="30"/>
          <w:szCs w:val="30"/>
          <w:highlight w:val="none"/>
          <w:lang w:val="en-US" w:eastAsia="zh-CN"/>
        </w:rPr>
        <w:t xml:space="preserve">2025年度一般公共预算财政拨款支出5,964,906.84元，主要用于以下方面：</w:t>
      </w:r>
      <w:r>
        <w:rPr>
          <w:rFonts w:eastAsia="仿宋_GB2312" w:hint="eastAsia"/>
          <w:sz w:val="30"/>
          <w:szCs w:val="30"/>
          <w:highlight w:val="none"/>
        </w:rPr>
        <w:t xml:space="preserve">一般公共服务支出（类）支出5,964,906.84元，占100.00%</w:t>
      </w:r>
      <w:r>
        <w:rPr>
          <w:rFonts w:eastAsia="仿宋_GB2312" w:hint="eastAsia"/>
          <w:sz w:val="30"/>
          <w:szCs w:val="30"/>
          <w:highlight w:val="none"/>
        </w:rPr>
        <w:t xml:space="preserve">。</w:t>
      </w:r>
    </w:p>
    <w:p>
      <w:pPr>
        <w:divId w:val="0"/>
        <w:spacing w:line="600" w:lineRule="exact"/>
        <w:ind w:firstLine="600" w:firstLineChars="200"/>
        <w:rPr>
          <w:rFonts w:ascii="楷体" w:eastAsia="楷体" w:hAnsi="楷体" w:cs="方正仿宋_GB2312" w:hint="eastAsia"/>
          <w:b/>
          <w:sz w:val="30"/>
          <w:szCs w:val="30"/>
          <w:highlight w:val="none"/>
        </w:rPr>
      </w:pPr>
      <w:r>
        <w:rPr>
          <w:rFonts w:ascii="楷体" w:eastAsia="楷体" w:hAnsi="楷体" w:cs="方正仿宋_GB2312" w:hint="eastAsia"/>
          <w:b/>
          <w:sz w:val="30"/>
          <w:szCs w:val="30"/>
          <w:lang w:val="en-US" w:eastAsia="zh-CN"/>
        </w:rPr>
        <w:t xml:space="preserve">（三）具体情况</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2025年度一般公共预算财政拨款支出年初预算为6,395,100.00元，支出决算为5,964,906.84元</w:t>
      </w:r>
      <w:r>
        <w:rPr>
          <w:rFonts w:eastAsia="仿宋_GB2312" w:hint="eastAsia"/>
          <w:sz w:val="30"/>
          <w:szCs w:val="30"/>
          <w:highlight w:val="none"/>
          <w:lang w:val="en-US" w:eastAsia="zh-CN"/>
        </w:rPr>
        <w:t xml:space="preserve">，完成年初预算的93.27%</w:t>
      </w:r>
      <w:r>
        <w:rPr>
          <w:rFonts w:eastAsia="仿宋_GB2312" w:hint="eastAsia"/>
          <w:sz w:val="30"/>
          <w:szCs w:val="30"/>
          <w:highlight w:val="none"/>
          <w:lang w:val="en-US" w:eastAsia="zh-CN"/>
        </w:rPr>
        <w:t xml:space="preserve">。其中：</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一般公共服务支出（类）政府办公厅（室）及相关机构事务（款）一般行政管理事务（项）年初预算为1,130,000.00元，支出决算为1,130,000.00元，完成年初预算的100.00%，决算数与年初预算数持平的主要原因是：严格按照预算完成相应工作任务。</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一般公共服务支出（类）统计信息事务（款）专项普查活动（项）年初预算为2,000,000.00元，支出决算为2,000,000.00元，完成年初预算的100.00%，决算数与年初预算数持平的主要原因是：严格按照预算完成相应工作任务。</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3.一般公共服务支出（类）统计信息事务（款）事业运行（项）年初预算为3,265,100.00元，支出决算为2,834,906.84元，完成年初预算的86.82%，决算数小于年初预算数的主要原因是：严控支出，压减非刚性支出。</w:t>
      </w:r>
    </w:p>
    <w:p>
      <w:pPr>
        <w:pStyle w:val="标题2"/>
        <w:spacing w:before="0" w:after="0" w:line="600" w:lineRule="exact"/>
        <w:ind w:firstLine="600" w:firstLineChars="200"/>
        <w:rPr>
          <w:rFonts w:ascii="黑体" w:eastAsia="黑体" w:hAnsi="黑体"/>
          <w:b w:val="0"/>
          <w:sz w:val="30"/>
          <w:szCs w:val="30"/>
          <w:highlight w:val="none"/>
        </w:rPr>
      </w:pPr>
      <w:bookmarkStart w:id="21" w:name="_Toc17234"/>
      <w:r>
        <w:rPr>
          <w:rFonts w:ascii="黑体" w:eastAsia="黑体" w:hAnsi="黑体" w:cs="方正仿宋_GB2312" w:hint="eastAsia"/>
          <w:bCs w:val="0"/>
          <w:sz w:val="30"/>
          <w:szCs w:val="30"/>
          <w:highlight w:val="none"/>
          <w:u w:val="none"/>
          <w:lang w:val="en-US" w:eastAsia="zh-CN"/>
        </w:rPr>
        <w:t xml:space="preserve">六、一般公共预算财政拨款基本支出决算情况说明</w:t>
      </w:r>
      <w:bookmarkEnd w:id="21"/>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天津经济技术开发区统计调查中心2025年度一般公共预算财政拨款基本支出合计2,834,906.84元，与2024年度相比</w:t>
      </w:r>
      <w:r>
        <w:rPr>
          <w:rFonts w:eastAsia="仿宋_GB2312" w:hint="eastAsia"/>
          <w:sz w:val="30"/>
          <w:szCs w:val="30"/>
          <w:highlight w:val="none"/>
          <w:lang w:val="en-US" w:eastAsia="zh-CN"/>
        </w:rPr>
        <w:t xml:space="preserve">减少82,796.40元，</w:t>
      </w:r>
      <w:r>
        <w:rPr>
          <w:rFonts w:eastAsia="仿宋_GB2312" w:hint="eastAsia"/>
          <w:sz w:val="30"/>
          <w:szCs w:val="30"/>
          <w:highlight w:val="none"/>
          <w:lang w:val="en-US" w:eastAsia="zh-CN"/>
        </w:rPr>
        <w:t xml:space="preserve">主要原因是压减非刚性支出。</w:t>
      </w:r>
      <w:r>
        <w:rPr>
          <w:rFonts w:eastAsia="仿宋_GB2312" w:hint="eastAsia"/>
          <w:sz w:val="30"/>
          <w:szCs w:val="30"/>
          <w:highlight w:val="none"/>
          <w:lang w:val="en-US" w:eastAsia="zh-CN"/>
        </w:rPr>
        <w:t xml:space="preserve">其中：</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人员经费2,655,393.39元，主要包括</w:t>
      </w:r>
      <w:r>
        <w:rPr>
          <w:rFonts w:eastAsia="仿宋_GB2312" w:hint="eastAsia"/>
          <w:sz w:val="30"/>
          <w:szCs w:val="30"/>
          <w:highlight w:val="none"/>
          <w:lang w:val="en-US" w:eastAsia="zh-CN"/>
        </w:rPr>
        <w:t xml:space="preserve">基本工资、津贴补贴、机关事业单位基本养老保险缴费、职业年金缴费、职工基本医疗保险缴费、其他社会保障缴费、住房公积金</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公用经费179,513.45元，主要包括</w:t>
      </w:r>
      <w:r>
        <w:rPr>
          <w:rFonts w:eastAsia="仿宋_GB2312" w:hint="eastAsia"/>
          <w:sz w:val="30"/>
          <w:szCs w:val="30"/>
          <w:highlight w:val="none"/>
          <w:lang w:val="en-US" w:eastAsia="zh-CN"/>
        </w:rPr>
        <w:t xml:space="preserve">办公费、手续费、水费、邮电费、差旅费、委托业务费、其他交通费用、其他商品和服务支出</w:t>
      </w:r>
      <w:r>
        <w:rPr>
          <w:rFonts w:eastAsia="仿宋_GB2312" w:hint="eastAsia"/>
          <w:sz w:val="30"/>
          <w:szCs w:val="30"/>
          <w:highlight w:val="none"/>
          <w:lang w:val="en-US" w:eastAsia="zh-CN"/>
        </w:rPr>
        <w:t xml:space="preserve">。</w:t>
      </w:r>
    </w:p>
    <w:p>
      <w:pPr>
        <w:pStyle w:val="标题2"/>
        <w:spacing w:before="0" w:after="0" w:line="600" w:lineRule="exact"/>
        <w:ind w:firstLine="600" w:firstLineChars="200"/>
        <w:rPr>
          <w:rFonts w:ascii="楷体" w:eastAsia="楷体" w:hAnsi="楷体" w:cs="方正仿宋_GB2312" w:hint="eastAsia"/>
          <w:b w:val="0"/>
          <w:sz w:val="30"/>
          <w:szCs w:val="30"/>
          <w:highlight w:val="none"/>
        </w:rPr>
      </w:pPr>
      <w:bookmarkStart w:id="22" w:name="_Toc11228"/>
      <w:r>
        <w:rPr>
          <w:rFonts w:ascii="黑体" w:eastAsia="黑体" w:hAnsi="黑体" w:cs="方正仿宋_GB2312" w:hint="eastAsia"/>
          <w:bCs w:val="0"/>
          <w:sz w:val="30"/>
          <w:szCs w:val="30"/>
          <w:highlight w:val="none"/>
          <w:u w:val="none"/>
          <w:lang w:val="en-US" w:eastAsia="zh-CN"/>
        </w:rPr>
        <w:t xml:space="preserve">七、政府性基金预算财政拨款收支决算情况说明</w:t>
      </w:r>
      <w:bookmarkEnd w:id="22"/>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天津经济技术开发区统计调查中心2025年度无政府性基金预算财政拨款收入、支出和结转结余。</w:t>
      </w:r>
    </w:p>
    <w:p>
      <w:pPr>
        <w:pStyle w:val="标题2"/>
        <w:spacing w:before="0" w:after="0" w:line="600" w:lineRule="exact"/>
        <w:ind w:firstLine="600" w:firstLineChars="200"/>
        <w:rPr>
          <w:rFonts w:eastAsia="黑体" w:hint="eastAsia"/>
          <w:b w:val="0"/>
          <w:sz w:val="30"/>
          <w:szCs w:val="30"/>
          <w:highlight w:val="none"/>
        </w:rPr>
      </w:pPr>
      <w:bookmarkStart w:id="23" w:name="_Toc2429"/>
      <w:r>
        <w:rPr>
          <w:rFonts w:ascii="黑体" w:eastAsia="黑体" w:hAnsi="黑体" w:cs="方正仿宋_GB2312" w:hint="eastAsia"/>
          <w:bCs w:val="0"/>
          <w:sz w:val="30"/>
          <w:szCs w:val="30"/>
          <w:highlight w:val="none"/>
          <w:u w:val="none"/>
          <w:lang w:val="en-US" w:eastAsia="zh-CN"/>
        </w:rPr>
        <w:t xml:space="preserve">八、国有资本经营预算财政拨款收支决算情况说明</w:t>
      </w:r>
      <w:bookmarkEnd w:id="23"/>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天津经济技术开发区统计调查中心2025年度无国有资本经营预算财政拨款收入、支出和结转结余。</w:t>
      </w:r>
    </w:p>
    <w:p>
      <w:pPr>
        <w:pStyle w:val="标题2"/>
        <w:spacing w:before="0" w:after="0" w:line="600" w:lineRule="exact"/>
        <w:ind w:firstLine="600" w:firstLineChars="200"/>
        <w:rPr>
          <w:rFonts w:ascii="黑体" w:eastAsia="黑体" w:hAnsi="黑体"/>
          <w:b w:val="0"/>
          <w:sz w:val="30"/>
          <w:szCs w:val="30"/>
          <w:highlight w:val="none"/>
        </w:rPr>
      </w:pPr>
      <w:bookmarkStart w:id="24" w:name="_Toc22288"/>
      <w:r>
        <w:rPr>
          <w:rFonts w:ascii="黑体" w:eastAsia="黑体" w:hAnsi="黑体" w:cs="方正仿宋_GB2312" w:hint="eastAsia"/>
          <w:bCs w:val="0"/>
          <w:sz w:val="30"/>
          <w:szCs w:val="30"/>
          <w:highlight w:val="none"/>
          <w:u w:val="none"/>
          <w:lang w:val="en-US" w:eastAsia="zh-CN"/>
        </w:rPr>
        <w:t xml:space="preserve">九、财政拨款“三公”经费支出决算情况说明</w:t>
      </w:r>
      <w:bookmarkEnd w:id="24"/>
    </w:p>
    <w:p>
      <w:pPr>
        <w:divId w:val="0"/>
        <w:spacing w:line="600" w:lineRule="exact"/>
        <w:ind w:firstLine="600" w:firstLineChars="200"/>
        <w:rPr>
          <w:rFonts w:ascii="楷体" w:eastAsia="楷体" w:hAnsi="楷体" w:cs="楷体" w:hint="eastAsia"/>
          <w:b/>
          <w:bCs/>
          <w:sz w:val="30"/>
          <w:szCs w:val="30"/>
          <w:highlight w:val="none"/>
          <w:lang w:eastAsia="zh-CN"/>
        </w:rPr>
      </w:pPr>
      <w:r>
        <w:rPr>
          <w:rFonts w:ascii="楷体" w:eastAsia="楷体" w:hAnsi="楷体" w:cs="楷体" w:hint="eastAsia"/>
          <w:b/>
          <w:bCs/>
          <w:sz w:val="30"/>
          <w:szCs w:val="30"/>
          <w:highlight w:val="none"/>
          <w:lang w:eastAsia="zh-CN"/>
        </w:rPr>
        <w:t xml:space="preserve">（一）总体情况</w:t>
      </w:r>
    </w:p>
    <w:p>
      <w:pPr>
        <w:divId w:val="0"/>
        <w:spacing w:line="600" w:lineRule="exact"/>
        <w:ind w:firstLine="600"/>
        <w:rPr>
          <w:rFonts w:eastAsia="仿宋_GB2312" w:hint="default"/>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年财政拨</w:t>
      </w:r>
      <w:r>
        <w:rPr>
          <w:rFonts w:eastAsia="仿宋_GB2312" w:hint="eastAsia"/>
          <w:sz w:val="30"/>
          <w:szCs w:val="30"/>
          <w:highlight w:val="none"/>
          <w:lang w:val="en-US" w:eastAsia="zh-CN"/>
        </w:rPr>
        <w:t xml:space="preserve">款</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三</w:t>
      </w:r>
      <w:r>
        <w:rPr>
          <w:rFonts w:eastAsia="仿宋_GB2312" w:hint="eastAsia"/>
          <w:sz w:val="30"/>
          <w:szCs w:val="30"/>
          <w:highlight w:val="none"/>
          <w:lang w:val="en-US" w:eastAsia="zh-CN"/>
        </w:rPr>
        <w:t xml:space="preserve">公</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经费预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决算数与预算数持平的主要原因是本年度未用财政拨款经费列支“三公”经费；</w:t>
      </w:r>
      <w:r>
        <w:rPr>
          <w:rFonts w:eastAsia="仿宋_GB2312" w:hint="eastAsia"/>
          <w:sz w:val="30"/>
          <w:szCs w:val="30"/>
          <w:highlight w:val="none"/>
          <w:lang w:val="en-US" w:eastAsia="zh-CN"/>
        </w:rPr>
        <w:t xml:space="preserve">决算数较上年持平的主要原因是本年度未用财政拨款经费列支“三公”经费。</w:t>
      </w:r>
    </w:p>
    <w:p>
      <w:pPr>
        <w:divId w:val="0"/>
        <w:spacing w:line="600" w:lineRule="exact"/>
        <w:ind w:firstLine="600" w:firstLineChars="200"/>
        <w:rPr>
          <w:rFonts w:ascii="楷体" w:eastAsia="楷体" w:hAnsi="楷体" w:cs="楷体" w:hint="eastAsia"/>
          <w:b/>
          <w:bCs/>
          <w:sz w:val="30"/>
          <w:szCs w:val="30"/>
          <w:highlight w:val="none"/>
          <w:lang w:eastAsia="zh-CN"/>
        </w:rPr>
      </w:pPr>
      <w:r>
        <w:rPr>
          <w:rFonts w:ascii="楷体" w:eastAsia="楷体" w:hAnsi="楷体" w:cs="楷体" w:hint="eastAsia"/>
          <w:b/>
          <w:bCs/>
          <w:sz w:val="30"/>
          <w:szCs w:val="30"/>
          <w:highlight w:val="none"/>
          <w:lang w:eastAsia="zh-CN"/>
        </w:rPr>
        <w:t xml:space="preserve">（二）具体情况</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因公出国（境）费预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决算数与预算数持平的主要原因是本年度未用财政拨款经费列支因公出国(境)费；</w:t>
      </w:r>
      <w:r>
        <w:rPr>
          <w:rFonts w:eastAsia="仿宋_GB2312" w:hint="eastAsia"/>
          <w:sz w:val="30"/>
          <w:szCs w:val="30"/>
          <w:highlight w:val="none"/>
          <w:lang w:val="en-US" w:eastAsia="zh-CN"/>
        </w:rPr>
        <w:t xml:space="preserve">决算数较上年持平的主要原因是本年度未用财政拨款经费列支因公出国(境)费。</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年本单位组织的出国团</w:t>
      </w:r>
      <w:r>
        <w:rPr>
          <w:rFonts w:eastAsia="仿宋_GB2312" w:hint="eastAsia"/>
          <w:sz w:val="30"/>
          <w:szCs w:val="30"/>
          <w:highlight w:val="none"/>
          <w:lang w:val="en-US" w:eastAsia="zh-CN"/>
        </w:rPr>
        <w:t xml:space="preserve">组</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个，出</w:t>
      </w:r>
      <w:r>
        <w:rPr>
          <w:rFonts w:eastAsia="仿宋_GB2312" w:hint="eastAsia"/>
          <w:sz w:val="30"/>
          <w:szCs w:val="30"/>
          <w:highlight w:val="none"/>
          <w:lang w:val="en-US" w:eastAsia="zh-CN"/>
        </w:rPr>
        <w:t xml:space="preserve">国</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人次。</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公务用车购置及运行维护费预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决算数与预算数持平的主要原因是本年度未用财政拨款经费列支公务用车购置及运行维护费；</w:t>
      </w:r>
      <w:r>
        <w:rPr>
          <w:rFonts w:eastAsia="仿宋_GB2312" w:hint="eastAsia"/>
          <w:sz w:val="30"/>
          <w:szCs w:val="30"/>
          <w:highlight w:val="none"/>
          <w:lang w:val="en-US" w:eastAsia="zh-CN"/>
        </w:rPr>
        <w:t xml:space="preserve">决算数较上年持平的主要原因是本年度未用财政拨款经费列支公务用车购置及运行维护费。</w:t>
      </w:r>
      <w:r>
        <w:rPr>
          <w:rFonts w:eastAsia="仿宋_GB2312" w:hint="eastAsia"/>
          <w:sz w:val="30"/>
          <w:szCs w:val="30"/>
          <w:highlight w:val="none"/>
          <w:lang w:val="en-US" w:eastAsia="zh-CN"/>
        </w:rPr>
        <w:t xml:space="preserve">其中：</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公务用车运行维护费预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决算数与预算数持平的主要原因是本年度未用财政拨款经费列支公务用车运行维护费；</w:t>
      </w:r>
      <w:r>
        <w:rPr>
          <w:rFonts w:eastAsia="仿宋_GB2312" w:hint="eastAsia"/>
          <w:sz w:val="30"/>
          <w:szCs w:val="30"/>
          <w:highlight w:val="none"/>
          <w:lang w:val="en-US" w:eastAsia="zh-CN"/>
        </w:rPr>
        <w:t xml:space="preserve">决算数较上年持平的主要原因是本年度未用财政拨款经费列支公务用车运行维护费。</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截</w:t>
      </w:r>
      <w:r>
        <w:rPr>
          <w:rFonts w:eastAsia="仿宋_GB2312" w:hint="eastAsia"/>
          <w:sz w:val="30"/>
          <w:szCs w:val="30"/>
          <w:highlight w:val="none"/>
          <w:lang w:val="en-US" w:eastAsia="zh-CN"/>
        </w:rPr>
        <w:t xml:space="preserve">至</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w:t>
      </w: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2</w:t>
      </w:r>
      <w:r>
        <w:rPr>
          <w:rFonts w:eastAsia="仿宋_GB2312" w:hint="eastAsia"/>
          <w:sz w:val="30"/>
          <w:szCs w:val="30"/>
          <w:highlight w:val="none"/>
          <w:lang w:val="en-US" w:eastAsia="zh-CN"/>
        </w:rPr>
        <w:t xml:space="preserve">月</w:t>
      </w:r>
      <w:r>
        <w:rPr>
          <w:rFonts w:eastAsia="仿宋_GB2312" w:hint="eastAsia"/>
          <w:sz w:val="30"/>
          <w:szCs w:val="30"/>
          <w:highlight w:val="none"/>
          <w:lang w:val="en-US" w:eastAsia="zh-CN"/>
        </w:rPr>
        <w:t xml:space="preserve">3</w:t>
      </w: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日，使用财政拨款开支运行维护费的公务用车保有量</w:t>
      </w:r>
      <w:r>
        <w:rPr>
          <w:rFonts w:eastAsia="仿宋_GB2312" w:hint="eastAsia"/>
          <w:sz w:val="30"/>
          <w:szCs w:val="30"/>
          <w:highlight w:val="none"/>
          <w:lang w:val="en-US" w:eastAsia="zh-CN"/>
        </w:rPr>
        <w:t xml:space="preserve">为</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辆</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公务用车购置费预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决算数与预算数持平的主要原因是本年度未用财政拨款经费列支公务用车购置费；</w:t>
      </w:r>
      <w:r>
        <w:rPr>
          <w:rFonts w:eastAsia="仿宋_GB2312" w:hint="eastAsia"/>
          <w:sz w:val="30"/>
          <w:szCs w:val="30"/>
          <w:highlight w:val="none"/>
          <w:lang w:val="en-US" w:eastAsia="zh-CN"/>
        </w:rPr>
        <w:t xml:space="preserve">决算数较上年持平的主要原因是本年度未用财政拨款经费列支公务用车购置费。</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年购置公务用</w:t>
      </w:r>
      <w:r>
        <w:rPr>
          <w:rFonts w:eastAsia="仿宋_GB2312" w:hint="eastAsia"/>
          <w:sz w:val="30"/>
          <w:szCs w:val="30"/>
          <w:highlight w:val="none"/>
          <w:lang w:val="en-US" w:eastAsia="zh-CN"/>
        </w:rPr>
        <w:t xml:space="preserve">车</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辆。</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3</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公务接待费预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决算数与预算数持平的主要原因是本年度未用财政拨款经费列支公务接待费；</w:t>
      </w:r>
      <w:r>
        <w:rPr>
          <w:rFonts w:eastAsia="仿宋_GB2312" w:hint="eastAsia"/>
          <w:sz w:val="30"/>
          <w:szCs w:val="30"/>
          <w:highlight w:val="none"/>
          <w:lang w:val="en-US" w:eastAsia="zh-CN"/>
        </w:rPr>
        <w:t xml:space="preserve">决算数较上年持平的主要原因是本年度未用财政拨款经费列支公务接待费。</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年本单位国内公务接</w:t>
      </w:r>
      <w:r>
        <w:rPr>
          <w:rFonts w:eastAsia="仿宋_GB2312" w:hint="eastAsia"/>
          <w:sz w:val="30"/>
          <w:szCs w:val="30"/>
          <w:highlight w:val="none"/>
          <w:lang w:val="en-US" w:eastAsia="zh-CN"/>
        </w:rPr>
        <w:t xml:space="preserve">待</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批次</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人次；其中，外事接</w:t>
      </w:r>
      <w:r>
        <w:rPr>
          <w:rFonts w:eastAsia="仿宋_GB2312" w:hint="eastAsia"/>
          <w:sz w:val="30"/>
          <w:szCs w:val="30"/>
          <w:highlight w:val="none"/>
          <w:lang w:val="en-US" w:eastAsia="zh-CN"/>
        </w:rPr>
        <w:t xml:space="preserve">待</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批次</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人次。</w:t>
      </w:r>
    </w:p>
    <w:p>
      <w:pPr>
        <w:pStyle w:val="标题2"/>
        <w:spacing w:before="0" w:after="0" w:line="600" w:lineRule="exact"/>
        <w:ind w:firstLine="600" w:firstLineChars="200"/>
        <w:rPr>
          <w:rFonts w:ascii="黑体" w:eastAsia="黑体" w:hAnsi="黑体"/>
          <w:b w:val="0"/>
          <w:sz w:val="30"/>
          <w:szCs w:val="30"/>
          <w:highlight w:val="none"/>
        </w:rPr>
      </w:pPr>
      <w:bookmarkStart w:id="25" w:name="_Toc30303"/>
      <w:r>
        <w:rPr>
          <w:rFonts w:ascii="黑体" w:eastAsia="黑体" w:hAnsi="黑体" w:cs="方正仿宋_GB2312" w:hint="eastAsia"/>
          <w:bCs w:val="0"/>
          <w:sz w:val="30"/>
          <w:szCs w:val="30"/>
          <w:highlight w:val="none"/>
          <w:u w:val="none"/>
          <w:lang w:val="en-US" w:eastAsia="zh-CN"/>
        </w:rPr>
        <w:t xml:space="preserve">十、机关运行经费支出情况说明</w:t>
      </w:r>
      <w:bookmarkEnd w:id="25"/>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天津经济技术开发区统计调查中心2025年度无机关运行经费。</w:t>
      </w:r>
    </w:p>
    <w:p>
      <w:pPr>
        <w:pStyle w:val="标题2"/>
        <w:spacing w:before="0" w:after="0" w:line="600" w:lineRule="exact"/>
        <w:ind w:firstLine="600" w:firstLineChars="200"/>
        <w:rPr>
          <w:rFonts w:ascii="黑体" w:eastAsia="黑体" w:hAnsi="黑体" w:cs="方正仿宋_GB2312" w:hint="eastAsia"/>
          <w:bCs w:val="0"/>
          <w:sz w:val="30"/>
          <w:szCs w:val="30"/>
          <w:highlight w:val="none"/>
          <w:u w:val="none"/>
          <w:lang w:val="en-US" w:eastAsia="zh-CN"/>
        </w:rPr>
      </w:pPr>
      <w:bookmarkStart w:id="26" w:name="_Toc3597"/>
      <w:r>
        <w:rPr>
          <w:rFonts w:ascii="黑体" w:eastAsia="黑体" w:hAnsi="黑体" w:cs="方正仿宋_GB2312" w:hint="eastAsia"/>
          <w:bCs w:val="0"/>
          <w:sz w:val="30"/>
          <w:szCs w:val="30"/>
          <w:highlight w:val="none"/>
          <w:u w:val="none"/>
          <w:lang w:val="en-US" w:eastAsia="zh-CN"/>
        </w:rPr>
        <w:t xml:space="preserve">十一、政府采购支出情况说明</w:t>
      </w:r>
      <w:bookmarkEnd w:id="26"/>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经济技术开发区统计调查中心2025年政府采购支出总额9,950.00元，其中：政府采购货物支出9,950.00元、政府采购工程支出0.00元、政府采购服务支出0.00元。授予中小企业合同金额9,950.00元，占政府采购支出总额的100.00%，其中：授予小微企业合同金额9,950.00元，占政府采购支出总额的100.00%；货物采购授予中小企业合同金额占货物支出金额的100.00%，工程采购授予中小企业合同金额占工程支出金额的0.00%，服务采购授予中小企业合同金额占服务支出金额的0.00%。</w:t>
      </w:r>
    </w:p>
    <w:p>
      <w:pPr>
        <w:pStyle w:val="标题2"/>
        <w:spacing w:before="0" w:after="0" w:line="600" w:lineRule="exact"/>
        <w:ind w:firstLine="600" w:firstLineChars="200"/>
        <w:rPr>
          <w:rFonts w:ascii="黑体" w:eastAsia="黑体" w:hAnsi="黑体" w:hint="eastAsia"/>
          <w:b w:val="0"/>
          <w:sz w:val="30"/>
          <w:szCs w:val="30"/>
          <w:highlight w:val="none"/>
        </w:rPr>
      </w:pPr>
      <w:bookmarkStart w:id="27" w:name="_Toc32039"/>
      <w:r>
        <w:rPr>
          <w:rFonts w:ascii="黑体" w:eastAsia="黑体" w:hAnsi="黑体" w:cs="方正仿宋_GB2312" w:hint="eastAsia"/>
          <w:bCs w:val="0"/>
          <w:sz w:val="30"/>
          <w:szCs w:val="30"/>
          <w:highlight w:val="none"/>
          <w:u w:val="none"/>
          <w:lang w:val="en-US" w:eastAsia="zh-CN"/>
        </w:rPr>
        <w:t xml:space="preserve">十二、国有资产占有使用情况说明</w:t>
      </w:r>
      <w:bookmarkEnd w:id="27"/>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天津经济技术开发区统计调查中心2025年度无国有资产占有使用情况。</w:t>
      </w:r>
    </w:p>
    <w:p>
      <w:pPr>
        <w:pStyle w:val="标题2"/>
        <w:spacing w:before="0" w:after="0" w:line="600" w:lineRule="exact"/>
        <w:ind w:firstLine="600" w:firstLineChars="200"/>
        <w:rPr>
          <w:rFonts w:ascii="黑体" w:eastAsia="黑体" w:hAnsi="黑体" w:cs="方正仿宋_GB2312" w:hint="eastAsia"/>
          <w:b/>
          <w:bCs w:val="0"/>
          <w:sz w:val="30"/>
          <w:szCs w:val="30"/>
          <w:highlight w:val="none"/>
          <w:u w:val="none"/>
          <w:lang w:val="en-US" w:eastAsia="zh-CN"/>
        </w:rPr>
      </w:pPr>
      <w:bookmarkStart w:id="28" w:name="_Toc2201"/>
      <w:r>
        <w:rPr>
          <w:rFonts w:ascii="黑体" w:eastAsia="黑体" w:hAnsi="黑体" w:cs="方正仿宋_GB2312" w:hint="eastAsia"/>
          <w:b/>
          <w:bCs w:val="0"/>
          <w:sz w:val="30"/>
          <w:szCs w:val="30"/>
          <w:highlight w:val="none"/>
          <w:u w:val="none"/>
          <w:lang w:val="en-US" w:eastAsia="zh-CN"/>
        </w:rPr>
        <w:t xml:space="preserve">十三、预算绩效情况说明</w:t>
      </w:r>
      <w:bookmarkEnd w:id="28"/>
    </w:p>
    <w:p>
      <w:pPr>
        <w:divId w:val="0"/>
        <w:spacing w:line="600" w:lineRule="exact"/>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    根据预算绩效管理要求，天津经济技术开发区统计调查中心2025年度已对2个区级项目开展绩效自评，涉及金额3,130,000.00元，自评结果已随部门决算一并公开。</w:t>
      </w:r>
    </w:p>
    <w:p>
      <w:pPr>
        <w:divId w:val="0"/>
        <w:spacing w:line="600" w:lineRule="exact"/>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    本部门2025年度未开展部门评价。</w:t>
      </w:r>
    </w:p>
    <w:p>
      <w:pPr>
        <w:pStyle w:val="标题2"/>
        <w:spacing w:before="0" w:after="0" w:line="600" w:lineRule="exact"/>
        <w:ind w:firstLine="600" w:firstLineChars="200"/>
        <w:rPr>
          <w:rFonts w:ascii="Times New Roman" w:eastAsia="黑体" w:hAnsi="Times New Roman"/>
          <w:b w:val="0"/>
          <w:sz w:val="30"/>
          <w:szCs w:val="30"/>
          <w:highlight w:val="none"/>
        </w:rPr>
      </w:pPr>
      <w:bookmarkStart w:id="29" w:name="_Toc10864"/>
      <w:r>
        <w:rPr>
          <w:rFonts w:ascii="黑体" w:eastAsia="黑体" w:hAnsi="黑体" w:cs="方正仿宋_GB2312" w:hint="eastAsia"/>
          <w:bCs w:val="0"/>
          <w:sz w:val="30"/>
          <w:szCs w:val="30"/>
          <w:highlight w:val="none"/>
          <w:u w:val="none"/>
          <w:lang w:val="en-US" w:eastAsia="zh-CN"/>
        </w:rPr>
        <w:t xml:space="preserve">十四、教育、医疗卫生、社会保障和就业、住房保障、涉农补贴等民生支出情况说明</w:t>
      </w:r>
      <w:bookmarkEnd w:id="29"/>
    </w:p>
    <w:p>
      <w:pPr>
        <w:divId w:val="0"/>
        <w:spacing w:line="600" w:lineRule="exact"/>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    天津经济技术开发区统计调查中心不属于乡、镇、街级单位，不涉及公开2025年度教育、医疗卫生、社会保障和就业、住房保障、涉农补贴等民生支出情况。</w:t>
      </w:r>
    </w:p>
    <w:p>
      <w:pPr>
        <w:pStyle w:val="标题1"/>
        <w:spacing w:before="0" w:after="0" w:line="600" w:lineRule="exact"/>
        <w:jc w:val="center"/>
        <w:rPr>
          <w:rFonts w:ascii="方正小标宋简体" w:eastAsia="方正小标宋简体" w:hAnsi="方正小标宋简体" w:cs="方正小标宋简体" w:hint="eastAsia"/>
          <w:b w:val="0"/>
          <w:sz w:val="48"/>
          <w:szCs w:val="48"/>
          <w:highlight w:val="none"/>
        </w:rPr>
      </w:pPr>
      <w:r>
        <w:rPr>
          <w:rFonts w:ascii="方正小标宋简体" w:eastAsia="方正小标宋简体" w:hAnsi="方正小标宋简体" w:cs="方正小标宋简体" w:hint="eastAsia"/>
          <w:b w:val="0"/>
          <w:sz w:val="48"/>
          <w:szCs w:val="48"/>
          <w:highlight w:val="none"/>
        </w:rPr>
        <w:br w:type="page"/>
      </w:r>
    </w:p>
    <w:p>
      <w:pPr>
        <w:pStyle w:val="标题1"/>
        <w:spacing w:before="0" w:after="0" w:line="600" w:lineRule="exact"/>
        <w:jc w:val="center"/>
        <w:rPr>
          <w:rFonts w:ascii="方正小标宋简体" w:eastAsia="方正小标宋简体" w:hAnsi="方正小标宋简体" w:cs="方正小标宋简体"/>
          <w:b w:val="0"/>
          <w:sz w:val="44"/>
          <w:szCs w:val="44"/>
          <w:highlight w:val="none"/>
        </w:rPr>
      </w:pPr>
      <w:bookmarkStart w:id="30" w:name="_Toc19733"/>
      <w:r>
        <w:rPr>
          <w:rFonts w:ascii="方正小标宋简体" w:eastAsia="方正小标宋简体" w:hAnsi="方正小标宋简体" w:cs="方正小标宋简体" w:hint="eastAsia"/>
          <w:b w:val="0"/>
          <w:lang w:val="en-US" w:eastAsia="zh-CN"/>
        </w:rPr>
        <w:t xml:space="preserve">第四部分  名词解释</w:t>
      </w:r>
      <w:bookmarkEnd w:id="30"/>
    </w:p>
    <w:p>
      <w:pPr>
        <w:pStyle w:val="标题1"/>
        <w:spacing w:before="0" w:after="0" w:line="600" w:lineRule="exact"/>
        <w:jc w:val="center"/>
        <w:rPr>
          <w:rFonts w:ascii="方正小标宋简体" w:eastAsia="方正小标宋简体" w:hAnsi="方正小标宋简体" w:cs="方正小标宋简体" w:hint="eastAsia"/>
          <w:b w:val="0"/>
          <w:sz w:val="44"/>
          <w:szCs w:val="44"/>
          <w:highlight w:val="none"/>
        </w:rPr>
      </w:pP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部门决算。是指各部门依据国家有关法律法规规定及其履行职能情况编制，反映部门所有预算收支和结余执行结果及绩效等情况的综合性年度报告，是改进部门预算执行以及编制后续年度部门预算的参考和依据。</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机关运行经费。反映行政单位（含参照公务员管理事业单位）财政拨款基本支出中的公用经费支出，主要为保障行政单位（含参照公务员管理事业单位）运行用于购买货物和服务的各项资金，包括办公费、印刷费、水费、电费、邮电费、取暖费、物业管理费、差旅费、会议费、公务用车运行维护费以及其他费用。</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3</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三</w:t>
      </w:r>
      <w:r>
        <w:rPr>
          <w:rFonts w:eastAsia="仿宋_GB2312" w:hint="eastAsia"/>
          <w:sz w:val="30"/>
          <w:szCs w:val="30"/>
          <w:highlight w:val="none"/>
          <w:lang w:val="en-US" w:eastAsia="zh-CN"/>
        </w:rPr>
        <w:t xml:space="preserve">公</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经费。是指各部门用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车辆购置支出（含车辆购置税、牌照费）及燃料费、新能源汽车充电费、维修费、过桥过路费、保险费、安全奖励费用等支出；公务接待费反映单位按规定开支的各类公务接待（含外宾接待）支出</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 </w:t>
      </w:r>
    </w:p>
    <w:sectPr>
      <w:footerReference w:type="default" r:id="rId8"/>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textDirection w:val="lrTb"/>
      <w:docGrid w:type="lines" w:linePitch="312" w:charSpace="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default"/>
    <w:sig w:usb0="E0002EFF" w:usb1="C000785B" w:usb2="00000009" w:usb3="00000000" w:csb0="400001FF" w:csb1="FFFF0000"/>
  </w:font>
  <w:font w:name="宋体">
    <w:panose1 w:val="02010600030101010101"/>
    <w:charset w:val="FFFFFF86"/>
    <w:family w:val="auto"/>
    <w:pitch w:val="default"/>
    <w:sig w:usb0="00000203" w:usb1="288F0000" w:usb2="00000006" w:usb3="00000000" w:csb0="00040001" w:csb1="00000000"/>
    <w:embedRegular r:id="rId1" w:subsetted="1" w:fontKey="{CABC4A4A-FB79-4F83-9294-C62A5083F1DC}"/>
    <w:embedBold r:id="rId2" w:subsetted="1" w:fontKey="{FB685B86-C1FE-4618-BC45-E2ACDDE55231}"/>
  </w:font>
  <w:font w:name="Cambria">
    <w:panose1 w:val="02040503050406030204"/>
    <w:charset w:val="00"/>
    <w:family w:val="roman"/>
    <w:pitch w:val="default"/>
    <w:sig w:usb0="E00006FF" w:usb1="420024FF" w:usb2="02000000" w:usb3="00000000" w:csb0="2000019F" w:csb1="00000000"/>
    <w:embedRegular r:id="rId3" w:fontKey="{956840DA-3D75-4038-8CA3-0B0E7801B72E}"/>
  </w:font>
  <w:font w:name="Calibri">
    <w:panose1 w:val="020F0502020204030204"/>
    <w:charset w:val="00"/>
    <w:family w:val="swiss"/>
    <w:pitch w:val="default"/>
    <w:sig w:usb0="E4002EFF" w:usb1="C200247B" w:usb2="00000009" w:usb3="00000000" w:csb0="200001FF" w:csb1="00000000"/>
    <w:embedRegular r:id="rId4" w:fontKey="{DEF71FA9-6DB3-4040-9FFE-206672792629}"/>
  </w:font>
  <w:font w:name="黑体">
    <w:panose1 w:val="02010609060101010101"/>
    <w:charset w:val="FFFFFF86"/>
    <w:family w:val="auto"/>
    <w:pitch w:val="default"/>
    <w:sig w:usb0="800002BF" w:usb1="38CF7CFA" w:usb2="00000016" w:usb3="00000000" w:csb0="00040001" w:csb1="00000000"/>
    <w:embedRegular r:id="rId5" w:subsetted="1" w:fontKey="{DDDE1F48-21C9-4151-949D-AA5BF6F7A80C}"/>
    <w:embedBold r:id="rId6" w:subsetted="1" w:fontKey="{C3C375E5-DE0C-49F4-ABB0-E1B676049DE2}"/>
  </w:font>
  <w:font w:name="方正小标宋简体">
    <w:altName w:val="黑体"/>
    <w:panose1 w:val="02000000000000000000"/>
    <w:charset w:val="FFFFFF86"/>
    <w:family w:val="auto"/>
    <w:pitch w:val="default"/>
    <w:sig w:usb0="00000001" w:usb1="08000000" w:usb2="00000000" w:usb3="00000000" w:csb0="00040000" w:csb1="00000000"/>
    <w:embedRegular r:id="rId7" w:fontKey="{46E96F52-EA78-46B3-9A73-6C3F2C0F0991}"/>
    <w:embedBold r:id="rId8" w:fontKey="{6F8AEF19-99CC-4D72-A4C5-EBA4FB29C414}"/>
  </w:font>
  <w:font w:name="仿宋">
    <w:panose1 w:val="02010609060101010101"/>
    <w:charset w:val="FFFFFF86"/>
    <w:family w:val="auto"/>
    <w:pitch w:val="default"/>
    <w:sig w:usb0="800002BF" w:usb1="38CF7CFA" w:usb2="00000016" w:usb3="00000000" w:csb0="00040001" w:csb1="00000000"/>
    <w:embedRegular r:id="rId9" w:subsetted="1" w:fontKey="{07C24F99-EAEE-47EF-AEE2-DD367CD00CBA}"/>
  </w:font>
  <w:font w:name="方正仿宋_GB2312">
    <w:altName w:val="仿宋"/>
    <w:panose1 w:val="02000000000000000000"/>
    <w:charset w:val="FFFFFF86"/>
    <w:family w:val="auto"/>
    <w:pitch w:val="default"/>
    <w:sig w:usb0="A00002BF" w:usb1="184F6CFA" w:usb2="00000012" w:usb3="00000000" w:csb0="00040001" w:csb1="00000000"/>
  </w:font>
  <w:font w:name="仿宋_GB2312">
    <w:altName w:val="仿宋"/>
    <w:panose1 w:val="02010609030101010101"/>
    <w:charset w:val="FFFFFF86"/>
    <w:family w:val="auto"/>
    <w:pitch w:val="default"/>
    <w:sig w:usb0="00000001" w:usb1="080E0000" w:usb2="00000000" w:usb3="00000000" w:csb0="00040000" w:csb1="00000000"/>
    <w:embedRegular r:id="rId10" w:fontKey="{36C0CD48-CA47-44E9-AEB0-9446B827341C}"/>
  </w:font>
  <w:font w:name="方正楷体_GB2312">
    <w:altName w:val="宋体"/>
    <w:panose1 w:val="02000000000000000000"/>
    <w:charset w:val="FFFFFF86"/>
    <w:family w:val="auto"/>
    <w:pitch w:val="default"/>
    <w:sig w:usb0="A00002BF" w:usb1="184F6CFA" w:usb2="00000012" w:usb3="00000000" w:csb0="00040001" w:csb1="00000000"/>
    <w:embedRegular r:id="rId11" w:fontKey="{26A92108-2F70-40EC-B41F-493AD4AE3E2F}"/>
  </w:font>
  <w:font w:name="等线">
    <w:panose1 w:val="02010600030101010101"/>
    <w:charset w:val="FFFFFF86"/>
    <w:family w:val="auto"/>
    <w:pitch w:val="default"/>
    <w:sig w:usb0="A00002BF" w:usb1="38CF7CFA" w:usb2="00000016" w:usb3="00000000" w:csb0="0004000F" w:csb1="00000000"/>
  </w:font>
  <w:font w:name="楷体">
    <w:panose1 w:val="02010609060101010101"/>
    <w:charset w:val="FFFFFF86"/>
    <w:family w:val="decorative"/>
    <w:pitch w:val="default"/>
    <w:sig w:usb0="800002BF" w:usb1="38CF7CFA" w:usb2="00000016" w:usb3="00000000" w:csb0="00040001" w:csb1="00000000"/>
    <w:embedRegular r:id="rId12" w:subsetted="1" w:fontKey="{EACB2994-D708-44F5-AFBF-2DC734C48740}"/>
    <w:embedBold r:id="rId13" w:subsetted="1" w:fontKey="{3B51EDD1-7724-4030-82B8-38A2F1765D7E}"/>
  </w:font>
  <w:font w:name="Arial">
    <w:charset w:val="00"/>
    <w:family w:val="auto"/>
    <w:pitch w:val="default"/>
  </w:font>
  <w:font w:name="方正仿宋">
    <w:charset w:val="01"/>
    <w:family w:val="auto"/>
    <w:pitch w:val="default"/>
  </w:font>
  <w:font w:name="方正楷体">
    <w:charset w:val="01"/>
    <w:family w:val="auto"/>
    <w:pitch w:val="default"/>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26" o:spid="_x0000_s2049" type="#_x0000_t202" style="width:2in;height:2in;margin-top:0;margin-left:0;mso-position-horizontal:center;mso-position-horizontal-relative:margin;mso-wrap-style:none;position:absolute;z-index:251658240"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3</w:t>
                </w:r>
                <w:r>
                  <w:fldChar w:fldCharType="end"/>
                </w:r>
              </w:p>
            </w:txbxContent>
          </v:textbox>
          <w10:wrap anchorx="margin"/>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27" o:spid="_x0000_s2050" type="#_x0000_t202" style="width:2in;height:2in;margin-top:0;margin-left:0;mso-position-horizontal:center;mso-position-horizontal-relative:margin;mso-wrap-style:none;position:absolute;z-index:251659264"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6</w:t>
                </w:r>
                <w:r>
                  <w:fldChar w:fldCharType="end"/>
                </w:r>
              </w:p>
            </w:txbxContent>
          </v:textbox>
          <w10:wrap anchorx="margin"/>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28" o:spid="_x0000_s2051" type="#_x0000_t202" style="width:2in;height:2in;margin-top:0;margin-left:0;mso-position-horizontal:center;mso-position-horizontal-relative:margin;mso-wrap-style:none;position:absolute;z-index:251660288"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17</w:t>
                </w:r>
                <w:r>
                  <w:fldChar w:fldCharType="end"/>
                </w:r>
              </w:p>
            </w:txbxContent>
          </v:textbox>
          <w10:wrap anchorx="margin"/>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7" o:spid="_x0000_s2052" type="#_x0000_t202" style="width:2in;height:2in;margin-top:0;margin-left:0;mso-position-horizontal:center;mso-position-horizontal-relative:margin;mso-wrap-style:none;position:absolute;z-index:251661312"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25</w:t>
                </w:r>
                <w:r>
                  <w:fldChar w:fldCharType="end"/>
                </w:r>
              </w:p>
            </w:txbxContent>
          </v:textbox>
          <w10:wrap anchorx="margin"/>
        </v:shape>
      </w:pic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TrueTypeFonts/>
  <w:bordersDoNotSurroundFooter w:val="0"/>
  <w:bordersDoNotSurroundHeader w:val="0"/>
  <w:stylePaneFormatFilter w:val="3F01"/>
  <w:doNotTrackMoves/>
  <w:defaultTabStop w:val="420.0"/>
  <w:drawingGridVerticalSpacing w:val="156"/>
  <w:noPunctuationKerning/>
  <w:characterSpacingControl w:val="compressPunctuation"/>
  <w:noLineBreaksAfter w:lang="en-US" w:val="([{·‘“〈《「『【〔〖（．［｛￡￥"/>
  <w:noLineBreaksBefore w:lang="en-US" w:val="!),.:;?]}¨·ˇˉ―‖’”…∶、。〃々〉》」』】〕〗！＂＇），．：；？］｀｜｝～￠"/>
  <w:endnotePr>
    <w:numFmt w:val="decimal"/>
  </w:endnotePr>
  <w:compat>
    <w:spaceForUL/>
    <w:balanceSingleByteDoubleByteWidth/>
    <w:doNotLeaveBackslashAlon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000000"/>
  </w:rsids>
  <w:docVars>
    <w:docVar w:name="commondata" w:val="eyJoZGlkIjoiOTM0ZDdjZmNhMDU3OGRjODI0Y2FhODMxNDQzMzM1NjMifQ=="/>
  </w:docVars>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qFormat="1"/>
    <w:lsdException w:name="toc 2" w:semiHidden="0" w:uiPriority="39" w:qFormat="1"/>
    <w:lsdException w:name="toc 3" w:semiHidden="0"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unhideWhenUsed="0" w:qFormat="1"/>
    <w:lsdException w:name="header" w:semiHidden="0" w:uiPriority="0"/>
    <w:lsdException w:name="footer" w:semiHidden="0" w:uiPriority="0" w:qFormat="1"/>
    <w:lsdException w:name="caption" w:uiPriority="35" w:qFormat="1"/>
    <w:lsdException w:name="Title" w:semiHidden="0" w:uiPriority="10" w:unhideWhenUsed="0" w:qFormat="1"/>
    <w:lsdException w:name="Default Paragraph Font" w:semiHidden="0" w:uiPriority="0"/>
    <w:lsdException w:name="Body Text Indent" w:semiHidden="0" w:qFormat="1"/>
    <w:lsdException w:name="Subtitle" w:semiHidden="0" w:uiPriority="11" w:unhideWhenUsed="0" w:qFormat="1"/>
    <w:lsdException w:name="Body Text First Indent 2" w:semiHidden="0" w:qFormat="1"/>
    <w:lsdException w:name="Hyperlink" w:semiHidden="0"/>
    <w:lsdException w:name="Strong" w:semiHidden="0" w:uiPriority="22" w:unhideWhenUsed="0" w:qFormat="1"/>
    <w:lsdException w:name="Emphasis" w:semiHidden="0" w:uiPriority="20" w:unhideWhenUsed="0" w:qFormat="1"/>
    <w:lsdException w:name="Normal (Web)" w:semiHidden="0" w:qFormat="1"/>
    <w:lsdException w:name="Normal Table" w:semiHidden="0"/>
    <w:lsdException w:name="Balloon Text" w:semiHidden="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divId w:val="0"/>
      <w:widowControl w:val="0"/>
      <w:adjustRightInd w:val="0"/>
      <w:spacing w:line="360" w:lineRule="atLeast"/>
      <w:textAlignment w:val="baseline"/>
    </w:pPr>
    <w:rPr>
      <w:rFonts w:ascii="Times New Roman" w:eastAsia="宋体" w:hAnsi="Times New Roman" w:cs="Times New Roman"/>
      <w:sz w:val="24"/>
      <w:lang w:val="en-US" w:eastAsia="zh-CN" w:bidi="ar-SA"/>
    </w:rPr>
  </w:style>
  <w:style w:type="paragraph" w:styleId="标题1">
    <w:name w:val="标题 1"/>
    <w:basedOn w:val="Normal"/>
    <w:next w:val="Normal"/>
    <w:link w:val="标题1Char"/>
    <w:uiPriority w:val="9"/>
    <w:qFormat/>
    <w:pPr>
      <w:keepNext/>
      <w:keepLines/>
      <w:spacing w:before="340" w:after="330" w:line="578" w:lineRule="atLeast"/>
      <w:outlineLvl w:val="0"/>
    </w:pPr>
    <w:rPr>
      <w:b/>
      <w:bCs/>
      <w:kern w:val="44.0"/>
      <w:sz w:val="44"/>
      <w:szCs w:val="44"/>
    </w:rPr>
  </w:style>
  <w:style w:type="paragraph" w:styleId="标题2">
    <w:name w:val="标题 2"/>
    <w:basedOn w:val="Normal"/>
    <w:next w:val="Normal"/>
    <w:link w:val="标题2Char"/>
    <w:uiPriority w:val="9"/>
    <w:unhideWhenUsed/>
    <w:qFormat/>
    <w:pPr>
      <w:keepNext/>
      <w:keepLines/>
      <w:spacing w:before="260" w:after="260" w:line="416" w:lineRule="atLeast"/>
      <w:outlineLvl w:val="1"/>
    </w:pPr>
    <w:rPr>
      <w:rFonts w:ascii="Cambria" w:eastAsia="宋体" w:hAnsi="Cambria" w:cs="Times New Roman"/>
      <w:b/>
      <w:bCs/>
      <w:sz w:val="32"/>
      <w:szCs w:val="32"/>
    </w:rPr>
  </w:style>
  <w:style w:type="paragraph" w:styleId="标题3">
    <w:name w:val="标题 3"/>
    <w:basedOn w:val="Normal"/>
    <w:next w:val="Normal"/>
    <w:link w:val="标题3Char"/>
    <w:uiPriority w:val="9"/>
    <w:unhideWhenUsed/>
    <w:qFormat/>
    <w:pPr>
      <w:keepNext/>
      <w:keepLines/>
      <w:spacing w:before="260" w:after="260" w:line="416" w:lineRule="atLeast"/>
      <w:outlineLvl w:val="2"/>
    </w:pPr>
    <w:rPr>
      <w:b/>
      <w:bCs/>
      <w:sz w:val="32"/>
      <w:szCs w:val="32"/>
    </w:rPr>
  </w:style>
  <w:style w:type="character" w:default="1" w:styleId="DefaultParagraphFont">
    <w:name w:val="Default Paragraph Font"/>
    <w:unhideWhenUsed/>
  </w:style>
  <w:style w:type="table" w:styleId="普通表格">
    <w:name w:val="普通表格"/>
    <w:uiPriority w:val="99"/>
    <w:unhideWhenUsed/>
    <w:tblP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Pr>
  </w:style>
  <w:style w:type="character" w:styleId="标题1Char">
    <w:name w:val="标题 1 Char"/>
    <w:link w:val="标题1"/>
    <w:uiPriority w:val="9"/>
    <w:rPr>
      <w:b/>
      <w:bCs/>
      <w:kern w:val="44.0"/>
      <w:sz w:val="44"/>
      <w:szCs w:val="44"/>
    </w:rPr>
  </w:style>
  <w:style w:type="character" w:styleId="标题2Char">
    <w:name w:val="标题 2 Char"/>
    <w:link w:val="标题2"/>
    <w:uiPriority w:val="9"/>
    <w:semiHidden/>
    <w:rPr>
      <w:rFonts w:ascii="Cambria" w:eastAsia="宋体" w:hAnsi="Cambria" w:cs="Times New Roman"/>
      <w:b/>
      <w:bCs/>
      <w:sz w:val="32"/>
      <w:szCs w:val="32"/>
    </w:rPr>
  </w:style>
  <w:style w:type="character" w:styleId="标题3Char">
    <w:name w:val="标题 3 Char"/>
    <w:link w:val="标题3"/>
    <w:uiPriority w:val="9"/>
    <w:semiHidden/>
    <w:rPr>
      <w:b/>
      <w:bCs/>
      <w:sz w:val="32"/>
      <w:szCs w:val="32"/>
    </w:rPr>
  </w:style>
  <w:style w:type="paragraph" w:styleId="正文文本缩进">
    <w:name w:val="正文文本缩进"/>
    <w:basedOn w:val="Normal"/>
    <w:next w:val="正文首行缩进2"/>
    <w:uiPriority w:val="99"/>
    <w:unhideWhenUsed/>
    <w:qFormat/>
    <w:pPr>
      <w:spacing w:after="120"/>
      <w:ind w:left="420" w:leftChars="200"/>
      <w:jc w:val="left"/>
    </w:pPr>
    <w:rPr>
      <w:rFonts w:ascii="宋体" w:hAnsi="宋体" w:cs="宋体"/>
      <w:kern w:val="0.0"/>
      <w:sz w:val="24"/>
      <w:lang w:val="en-US" w:eastAsia="zh-CN"/>
    </w:rPr>
  </w:style>
  <w:style w:type="paragraph" w:styleId="正文首行缩进2">
    <w:name w:val="正文首行缩进 2"/>
    <w:basedOn w:val="正文文本缩进"/>
    <w:next w:val="Normal"/>
    <w:uiPriority w:val="99"/>
    <w:unhideWhenUsed/>
    <w:qFormat/>
    <w:pPr>
      <w:ind w:left="420" w:firstLine="420" w:firstLineChars="200"/>
      <w:jc w:val="left"/>
    </w:pPr>
    <w:rPr>
      <w:lang w:val="en-US" w:eastAsia="zh-CN"/>
    </w:rPr>
  </w:style>
  <w:style w:type="paragraph" w:styleId="目录3">
    <w:name w:val="目录 3"/>
    <w:basedOn w:val="Normal"/>
    <w:next w:val="Normal"/>
    <w:uiPriority w:val="39"/>
    <w:unhideWhenUsed/>
    <w:qFormat/>
    <w:pPr>
      <w:widowControl/>
      <w:adjustRightInd/>
      <w:spacing w:after="100" w:line="276" w:lineRule="auto"/>
      <w:ind w:left="440"/>
      <w:textAlignment w:val="auto"/>
    </w:pPr>
    <w:rPr>
      <w:rFonts w:ascii="Calibri" w:eastAsia="宋体" w:hAnsi="Calibri" w:cs="Times New Roman"/>
      <w:sz w:val="22"/>
      <w:szCs w:val="22"/>
    </w:rPr>
  </w:style>
  <w:style w:type="paragraph" w:styleId="批注框文本">
    <w:name w:val="批注框文本"/>
    <w:basedOn w:val="Normal"/>
    <w:link w:val="批注框文本Char"/>
    <w:uiPriority w:val="99"/>
    <w:unhideWhenUsed/>
    <w:pPr>
      <w:spacing w:line="240" w:lineRule="auto"/>
    </w:pPr>
    <w:rPr>
      <w:sz w:val="18"/>
      <w:szCs w:val="18"/>
    </w:rPr>
  </w:style>
  <w:style w:type="character" w:styleId="批注框文本Char">
    <w:name w:val="批注框文本 Char"/>
    <w:link w:val="批注框文本"/>
    <w:uiPriority w:val="99"/>
    <w:semiHidden/>
    <w:rPr>
      <w:sz w:val="18"/>
      <w:szCs w:val="18"/>
    </w:rPr>
  </w:style>
  <w:style w:type="paragraph" w:styleId="页脚">
    <w:name w:val="页脚"/>
    <w:basedOn w:val="Normal"/>
    <w:link w:val="页脚Char"/>
    <w:unhideWhenUsed/>
    <w:qFormat/>
    <w:pPr>
      <w:tabs>
        <w:tab w:val="center" w:pos="4153"/>
        <w:tab w:val="right" w:pos="8306"/>
      </w:tabs>
      <w:snapToGrid w:val="0"/>
      <w:spacing w:line="240" w:lineRule="atLeast"/>
    </w:pPr>
    <w:rPr>
      <w:sz w:val="18"/>
      <w:szCs w:val="18"/>
    </w:rPr>
  </w:style>
  <w:style w:type="character" w:styleId="页脚Char">
    <w:name w:val="页脚 Char"/>
    <w:link w:val="页脚"/>
    <w:semiHidden/>
    <w:rPr>
      <w:sz w:val="18"/>
      <w:szCs w:val="18"/>
    </w:rPr>
  </w:style>
  <w:style w:type="paragraph" w:styleId="页眉">
    <w:name w:val="页眉"/>
    <w:basedOn w:val="Normal"/>
    <w:link w:val="页眉Char"/>
    <w:unhideWhenUsed/>
    <w:pPr>
      <w:pBdr>
        <w:bottom w:val="single" w:sz="6" w:space="1" w:color="auto"/>
      </w:pBdr>
      <w:tabs>
        <w:tab w:val="center" w:pos="4153"/>
        <w:tab w:val="right" w:pos="8306"/>
      </w:tabs>
      <w:snapToGrid w:val="0"/>
      <w:spacing w:line="240" w:lineRule="atLeast"/>
      <w:jc w:val="center"/>
    </w:pPr>
    <w:rPr>
      <w:sz w:val="18"/>
      <w:szCs w:val="18"/>
    </w:rPr>
  </w:style>
  <w:style w:type="character" w:styleId="页眉Char">
    <w:name w:val="页眉 Char"/>
    <w:link w:val="页眉"/>
    <w:semiHidden/>
    <w:rPr>
      <w:sz w:val="18"/>
      <w:szCs w:val="18"/>
    </w:rPr>
  </w:style>
  <w:style w:type="paragraph" w:styleId="目录1">
    <w:name w:val="目录 1"/>
    <w:basedOn w:val="Normal"/>
    <w:next w:val="Normal"/>
    <w:uiPriority w:val="39"/>
    <w:unhideWhenUsed/>
    <w:qFormat/>
    <w:pPr>
      <w:widowControl/>
      <w:tabs>
        <w:tab w:val="right" w:leader="dot" w:pos="8296"/>
      </w:tabs>
      <w:adjustRightInd/>
      <w:spacing w:after="100" w:line="276" w:lineRule="auto"/>
      <w:textAlignment w:val="auto"/>
    </w:pPr>
    <w:rPr>
      <w:rFonts w:ascii="黑体" w:eastAsia="黑体" w:hAnsi="黑体" w:cs="方正小标宋简体"/>
      <w:sz w:val="22"/>
      <w:szCs w:val="22"/>
    </w:rPr>
  </w:style>
  <w:style w:type="paragraph" w:styleId="脚注文本">
    <w:name w:val="脚注文本"/>
    <w:basedOn w:val="Normal"/>
    <w:next w:val="正文首行缩进2"/>
    <w:semiHidden/>
    <w:qFormat/>
    <w:pPr>
      <w:snapToGrid w:val="0"/>
      <w:jc w:val="left"/>
    </w:pPr>
    <w:rPr>
      <w:sz w:val="18"/>
      <w:szCs w:val="18"/>
      <w:lang w:val="en-US" w:eastAsia="zh-CN"/>
    </w:rPr>
  </w:style>
  <w:style w:type="paragraph" w:styleId="目录2">
    <w:name w:val="目录 2"/>
    <w:basedOn w:val="Normal"/>
    <w:next w:val="Normal"/>
    <w:uiPriority w:val="39"/>
    <w:unhideWhenUsed/>
    <w:qFormat/>
    <w:pPr>
      <w:widowControl/>
      <w:adjustRightInd/>
      <w:spacing w:after="100" w:line="276" w:lineRule="auto"/>
      <w:ind w:left="220"/>
      <w:textAlignment w:val="auto"/>
    </w:pPr>
    <w:rPr>
      <w:rFonts w:ascii="Calibri" w:eastAsia="宋体" w:hAnsi="Calibri" w:cs="Times New Roman"/>
      <w:sz w:val="22"/>
      <w:szCs w:val="22"/>
    </w:rPr>
  </w:style>
  <w:style w:type="paragraph" w:styleId="普通(网站)">
    <w:name w:val="普通(网站)"/>
    <w:basedOn w:val="Normal"/>
    <w:uiPriority w:val="99"/>
    <w:unhideWhenUsed/>
    <w:qFormat/>
    <w:rPr>
      <w:sz w:val="24"/>
    </w:rPr>
  </w:style>
  <w:style w:type="character" w:styleId="Hyperlink">
    <w:name w:val="超链接"/>
    <w:uiPriority w:val="99"/>
    <w:unhideWhenUsed/>
    <w:rPr>
      <w:color w:val="0000FF"/>
      <w:u w:val="single"/>
    </w:rPr>
  </w:style>
  <w:style w:type="paragraph" w:styleId="TOC标题">
    <w:name w:val="TOC 标题"/>
    <w:basedOn w:val="标题1"/>
    <w:next w:val="Normal"/>
    <w:uiPriority w:val="39"/>
    <w:unhideWhenUsed/>
    <w:qFormat/>
    <w:pPr>
      <w:widowControl/>
      <w:adjustRightInd/>
      <w:spacing w:before="480" w:after="0" w:line="276" w:lineRule="auto"/>
      <w:textAlignment w:val="auto"/>
      <w:outlineLvl w:val="9"/>
    </w:pPr>
    <w:rPr>
      <w:rFonts w:ascii="Cambria" w:eastAsia="宋体" w:hAnsi="Cambria" w:cs="Times New Roman"/>
      <w:color w:val="365F91"/>
      <w:kern w:val="0.0"/>
      <w:sz w:val="28"/>
      <w:szCs w:val="28"/>
    </w:rPr>
  </w:style>
  <w:style w:type="character" w:styleId="font41">
    <w:name w:val="font41"/>
    <w:basedOn w:val="DefaultParagraphFont"/>
    <w:qFormat/>
    <w:rPr>
      <w:rFonts w:ascii="宋体" w:eastAsia="宋体" w:hAnsi="宋体" w:cs="宋体" w:hint="eastAsia"/>
      <w:color w:val="000000"/>
      <w:sz w:val="20"/>
      <w:szCs w:val="20"/>
      <w:u w:val="none"/>
    </w:rPr>
  </w:style>
  <w:style w:type="character" w:styleId="font11">
    <w:name w:val="font11"/>
    <w:basedOn w:val="DefaultParagraphFont"/>
    <w:qFormat/>
    <w:rPr>
      <w:rFonts w:ascii="宋体" w:eastAsia="宋体" w:hAnsi="宋体" w:cs="宋体" w:hint="eastAsia"/>
      <w:color w:val="000000"/>
      <w:sz w:val="22"/>
      <w:szCs w:val="22"/>
      <w:u w:val="none"/>
    </w:rPr>
  </w:style>
  <w:style w:type="table" w:styleId="普通表格1">
    <w:name w:val="普通表格1"/>
    <w:uiPriority w:val="99"/>
    <w:unhideWhenUsed/>
    <w:tblPr>
      <w:tblCellMar>
        <w:top w:w="0" w:type="dxa"/>
        <w:left w:w="108" w:type="dxa"/>
        <w:bottom w:w="0" w:type="dxa"/>
        <w:right w:w="108" w:type="dxa"/>
      </w:tblCellMar>
    </w:tblPr>
  </w:style>
  <w:style w:type="table" w:default="1" w:styleId="NormalTable">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NormalTabl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11" Type="http://schemas.openxmlformats.org/officeDocument/2006/relationships/fontTable" Target="fontTable.xml" /><Relationship Id="rId2" Type="http://schemas.openxmlformats.org/officeDocument/2006/relationships/webSettings" Target="webSettings.xml" /><Relationship Id="rId3" Type="http://schemas.openxmlformats.org/officeDocument/2006/relationships/customXml" Target="../customXml/item1.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theme" Target="theme/theme1.xml" /></Relationships>
</file>

<file path=word/_rels/fontTable.xml.rels>&#65279;<?xml version="1.0" encoding="utf-8" standalone="yes"?><Relationships xmlns="http://schemas.openxmlformats.org/package/2006/relationships"><Relationship Id="rId1" Type="http://schemas.openxmlformats.org/officeDocument/2006/relationships/font" Target="fonts/font0.odttf" /><Relationship Id="rId10" Type="http://schemas.openxmlformats.org/officeDocument/2006/relationships/font" Target="fonts/font9.odttf" /><Relationship Id="rId11" Type="http://schemas.openxmlformats.org/officeDocument/2006/relationships/font" Target="fonts/font10.odttf" /><Relationship Id="rId12" Type="http://schemas.openxmlformats.org/officeDocument/2006/relationships/font" Target="fonts/font11.odttf" /><Relationship Id="rId13" Type="http://schemas.openxmlformats.org/officeDocument/2006/relationships/font" Target="fonts/font12.odttf" /><Relationship Id="rId2" Type="http://schemas.openxmlformats.org/officeDocument/2006/relationships/font" Target="fonts/font1.odttf" /><Relationship Id="rId3" Type="http://schemas.openxmlformats.org/officeDocument/2006/relationships/font" Target="fonts/font2.odttf" /><Relationship Id="rId4" Type="http://schemas.openxmlformats.org/officeDocument/2006/relationships/font" Target="fonts/font3.odttf" /><Relationship Id="rId5" Type="http://schemas.openxmlformats.org/officeDocument/2006/relationships/font" Target="fonts/font4.odttf" /><Relationship Id="rId6" Type="http://schemas.openxmlformats.org/officeDocument/2006/relationships/font" Target="fonts/font5.odttf" /><Relationship Id="rId7" Type="http://schemas.openxmlformats.org/officeDocument/2006/relationships/font" Target="fonts/font6.odttf" /><Relationship Id="rId8" Type="http://schemas.openxmlformats.org/officeDocument/2006/relationships/font" Target="fonts/font7.odttf" /><Relationship Id="rId9" Type="http://schemas.openxmlformats.org/officeDocument/2006/relationships/font" Target="fonts/font8.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Properties xmlns:vt="http://schemas.openxmlformats.org/officeDocument/2006/docPropsVTypes" xmlns="http://schemas.openxmlformats.org/officeDocument/2006/custom-properties">
  <property fmtid="{D5CDD505-2E9C-101B-9397-08002B2CF9AE}" pid="2" name="KSOProductBuildVer">
    <vt:lpwstr>2052-12.1.0.28043</vt:lpwstr>
  </property>
  <property fmtid="{D5CDD505-2E9C-101B-9397-08002B2CF9AE}" pid="3" name="ICV">
    <vt:lpwstr>A5A403E1C15441A0A57FA6556FC3E287_13</vt:lpwstr>
  </property>
  <property fmtid="{D5CDD505-2E9C-101B-9397-08002B2CF9AE}" pid="4" name="KSOTemplateDocerSaveRecord">
    <vt:lpwstr>eyJoZGlkIjoiMGMwOGFkMDkyMGVjOWVjMzc0YjBmOTUwNDI2MGMxYmMiLCJ1c2VySWQiOiI4ODc2NjQ3MTcifQ_x003D__x003D_</vt:lpwstr>
  </property>
</Properties>
</file>

<file path=customXml/itemProps1.xml><?xml version="1.0" encoding="utf-8"?>
<ds:datastoreItem xmlns:ds="http://schemas.openxmlformats.org/officeDocument/2006/customXml" ds:itemID="">
  <ds:schemaRefs/>
</ds:datastoreItem>
</file>

<file path=docProps/app.xml><?xml version="1.0" encoding="utf-8"?>
<Properties xmlns:vt="http://schemas.openxmlformats.org/officeDocument/2006/docPropsVTypes" xmlns="http://schemas.openxmlformats.org/officeDocument/2006/extended-properties">
  <Template>Normal.dot</Template>
  <Pages>28</Pages>
  <Words>3930</Words>
  <Characters>23360</Characters>
  <Application>WPS Office_12.1.0.28043_F1E327BC-269C-435d-A152-05C5408002CA</Application>
  <DocSecurity>0</DocSecurity>
  <Lines>60</Lines>
  <Paragraphs>16</Paragraphs>
  <ScaleCrop>false</ScaleCrop>
  <Company>Microsoft</Company>
  <LinksUpToDate>false</LinksUpToDate>
  <CharactersWithSpaces>23943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附件1</dc:title>
  <dc:creator>Administrator</dc:creator>
  <cp:lastModifiedBy>听鸣</cp:lastModifiedBy>
  <cp:revision>1</cp:revision>
  <cp:lastPrinted>2025-06-25T07:52:17Z</cp:lastPrinted>
  <dcterms:created xsi:type="dcterms:W3CDTF">2019-07-27T18:37:00Z</dcterms:created>
  <dcterms:modified xsi:type="dcterms:W3CDTF">2026-08-26T09:05:51Z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2052-12.1.0.28043</vt:lpwstr>
  </property>
  <property fmtid="{D5CDD505-2E9C-101B-9397-08002B2CF9AE}" pid="3" name="ICV">
    <vt:lpwstr>A5A403E1C15441A0A57FA6556FC3E287_13</vt:lpwstr>
  </property>
  <property fmtid="{D5CDD505-2E9C-101B-9397-08002B2CF9AE}" pid="4" name="KSOTemplateDocerSaveRecord">
    <vt:lpwstr>eyJoZGlkIjoiMGMwOGFkMDkyMGVjOWVjMzc0YjBmOTUwNDI2MGMxYmMiLCJ1c2VySWQiOiI4ODc2NjQ3MTcifQ_x003D__x003D_</vt:lpwstr>
  </property>
</Properties>
</file>