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天津经济技术开发区财政局</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年度部门决算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TOC \o "1-3" \h \z \u</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_Toc31751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240" w:firstLine="0" w:leftChars="100" w:firstLineChars="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一、主要职责</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_Toc957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二、机构设置</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_Toc9641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年度部门决算表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_Toc22959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一、《收入支出决算总表》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_Toc24940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二、《收入决算表（按功能分类列示）》</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_Toc19253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5</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三、《收入决算表（按单位列示）》</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_Toc1420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6</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四、《支出决算表》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_Toc16222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五、《财政拨款收入支出决算总表》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_Toc10133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9</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六、《一般公共预算财政拨款支出决算表》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_Toc32088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11</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七、《一般公共预算财政拨款基本支出决算表》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_Toc8838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八、《政府性基金预算财政拨款收入支出决算表》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_Toc2699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15</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九、《国有资本经营预算财政拨款收入支出决算表》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_Toc11009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16</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十、《财政拨</w:t>
      </w:r>
      <w:r>
        <w:rPr>
          <w:rFonts w:ascii="仿宋" w:eastAsia="仿宋" w:hAnsi="仿宋" w:cs="仿宋" w:hint="eastAsia"/>
          <w:bCs w:val="0"/>
          <w:sz w:val="30"/>
          <w:szCs w:val="30"/>
          <w:highlight w:val="none"/>
          <w:lang w:val="en-US" w:eastAsia="zh-CN" w:bidi="ar-SA"/>
        </w:rPr>
        <w:t xml:space="preserve">款</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三</w:t>
      </w:r>
      <w:r>
        <w:rPr>
          <w:rFonts w:ascii="仿宋" w:eastAsia="仿宋" w:hAnsi="仿宋" w:cs="仿宋" w:hint="eastAsia"/>
          <w:bCs w:val="0"/>
          <w:sz w:val="30"/>
          <w:szCs w:val="30"/>
          <w:highlight w:val="none"/>
          <w:lang w:val="en-US" w:eastAsia="zh-CN" w:bidi="ar-SA"/>
        </w:rPr>
        <w:t xml:space="preserve">公</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经费支出决算表》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_Toc25214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17</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十一、《项目支出决算表》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_Toc18972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年度部门决算情况说明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_Toc7922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一、收入支出决算总体情况说明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_Toc7052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二、收入决算情况说明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_Toc6621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三、支出决算情况说明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_Toc21049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四、财政拨款收支决算总体情况说明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_Toc8231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五、一般公共预算财政拨款支出决算情况说明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_Toc24201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六、一般公共预算财政拨款基本支出决算情况说明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_Toc17234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七、政府性基金预算财政拨款收支决算情况说明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_Toc11228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八、国有资本经营预算财政拨款收支决算情况说明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九、财政拨</w:t>
      </w:r>
      <w:r>
        <w:rPr>
          <w:rFonts w:ascii="仿宋" w:eastAsia="仿宋" w:hAnsi="仿宋" w:cs="仿宋" w:hint="eastAsia"/>
          <w:bCs w:val="0"/>
          <w:sz w:val="30"/>
          <w:szCs w:val="30"/>
          <w:highlight w:val="none"/>
          <w:lang w:val="en-US" w:eastAsia="zh-CN" w:bidi="ar-SA"/>
        </w:rPr>
        <w:t xml:space="preserve">款</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三</w:t>
      </w:r>
      <w:r>
        <w:rPr>
          <w:rFonts w:ascii="仿宋" w:eastAsia="仿宋" w:hAnsi="仿宋" w:cs="仿宋" w:hint="eastAsia"/>
          <w:bCs w:val="0"/>
          <w:sz w:val="30"/>
          <w:szCs w:val="30"/>
          <w:highlight w:val="none"/>
          <w:lang w:val="en-US" w:eastAsia="zh-CN" w:bidi="ar-SA"/>
        </w:rPr>
        <w:t xml:space="preserve">公</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经费支出决算情况说明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_Toc22288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十、机关运行经费支出情况说明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_Toc30303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十一、政府采购支出情况说明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_Toc3597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十二、国有资产占有使用情况说明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_Toc32039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十三、预算绩效情况说明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_Toc2201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十四、教育、医疗卫生、社会保障和就业、住房保障、涉农补贴等民生支出情况说明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_Toc10864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_Toc19733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方正小标宋简体" w:eastAsia="方正小标宋简体" w:hAnsi="方正小标宋简体" w:cs="方正小标宋简体" w:hint="eastAsia"/>
          <w:sz w:val="30"/>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31751"/>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957"/>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天津经济技术开发区财政局</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(一)贯彻执行国家、天津市、滨海新区有关财政、税收、国有资产管理的法律、法规和方针、政策，研究起草经开区相关政策规定，制定财政中长期发展战略、规划，并组织实施。</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二)承担各项财政收支管理责任，编制年度预决算草案并组织执行，负责向党委、管委会报告预算及其执行情况，组织制定经费支出标准、定额，按照上级部门要求批复部门(单位)的年度预决算，组织开展财政专项检查及经费使用绩效考核管理。按照规定负责部门国有资产管理，执行部门国有资产管理制度。</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(三)执行天津市、滨海新区国库管理制度、国库集中收付制度，按照规定开展国库资金管理。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(四)负责管委会非税收入管理，负责政府性基金管理，按规定管理部门性收费，管理财政票据。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(五)负责区域开发建设政府投资项目预算安排及资金拨付，公用事业补贴预算的审核及拨付。</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(六)贯彻执行国家、天津市、滨海新区政府性债务管理的相关工作。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(七)组织实施企业财务制度，对代理记账机构进行备案变更和撤销手续。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(八)负责经开区政府采购的业务管理工作。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(九)负责对财政投资项目开展评审和评价工作，对政府投资项目的预算、决(结)算开展审核。</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(十)负责制定财政管理信息化制度，拟订财政管理信息化建设中长期规划，组织实施“金财工程”建设，开展财政理论政策研究，负责财政政策宣传和信息咨询工作，负责财政系统教育培训工作。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(十一)负责本领域安全生产管理工作。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(十二)贯彻落实本单位全面从严治党主体责任，严格落实基层党建工作任务，发挥党组织战斗堡垒作用和党员先锋模范作用。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(十三)完成党委、管委会交办的其他各项工作</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9641"/>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天津经济技术开发区财政局</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年度部门决算编制范围的单位包括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部门本级（内设12个职能科室）。</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2959"/>
      <w:r>
        <w:rPr>
          <w:rFonts w:ascii="方正小标宋简体" w:eastAsia="方正小标宋简体" w:hAnsi="方正小标宋简体" w:cs="方正小标宋简体" w:hint="eastAsia"/>
          <w:b w:val="0"/>
          <w:bCs w:val="0"/>
          <w:lang w:val="en-US" w:eastAsia="zh-CN"/>
        </w:rPr>
        <w:t xml:space="preserve">第二部分  2025年度部门决算表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49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天津经济技术开发区财政局</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14780703.50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14780703.50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14780703.50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14780703.50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14780703.50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14780703.50</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divId w:val="0"/>
        <w:ind w:left="-480" w:firstLine="0" w:leftChars="-200" w:firstLineChars="0"/>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19253"/>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天津经济技术开发区财政局</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14780703.50</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14780703.50</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一般公共服务支出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14780703.50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14780703.50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20103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政府办公厅（室）及相关机构事务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183250.00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183250.00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2010302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183250.00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183250.00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财政事务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14597453.50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14597453.50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2010601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11781433.73</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11781433.73</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2010602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2816019.77</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2816019.77</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420"/>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部门</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天津经济技术开发区财政局</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14780703.50</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14780703.50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14780703.50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351101</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天津经济技术开发区财政局</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14780703.50</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14780703.50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14780703.50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部门</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天津经济技术开发区财政局</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cantSplit/>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351101</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天津经济技术开发区财政局</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6222"/>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天津经济技术开发区财政局</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14780703.50</w:t>
            </w: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11781433.73</w:t>
            </w: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2999269.77</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一般公共服务支出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14780703.50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11781433.73</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2999269.77</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20103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政府办公厅（室）及相关机构事务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183250.00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183250.00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2010302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183250.00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183250.00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财政事务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14597453.50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11781433.73</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2816019.77</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2010601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11781433.73</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11781433.73</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2010602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2816019.77</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2816019.77</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10133"/>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天津经济技术开发区财政局</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14780703.50</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14780703.50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14780703.50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3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14780703.50</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14780703.50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14780703.50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14780703.50</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14780703.50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14780703.50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32088"/>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天津经济技术开发区财政局</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基本支出</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14780703.50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11781433.73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11466590.69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314843.04</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2999269.77</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一般公共服务支出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14780703.50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11781433.73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11466590.69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314843.04</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2999269.77</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20103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政府办公厅（室）及相关机构事务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183250.00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183250.00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2010302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183250.00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183250.00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财政事务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14597453.50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11781433.73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11466590.69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314843.04</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2816019.77</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2010601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11781433.73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11781433.73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11466590.69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314843.04</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2010602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2816019.77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2816019.77</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8838"/>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天津经济技术开发区财政局</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11466590.69</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314843.04</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2198998.96</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51399.50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5564025.84</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473.80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312.50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8610.00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564886.40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206.14</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282443.20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353054.00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13648.50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24834.29</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2478348.00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7620.00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2420.00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8010.00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6400.00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152840.00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62902.60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11466590.69</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314843.04</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2699"/>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天津经济技术开发区财政局</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天津经济技术开发区财政局2025年度政府性基金预算财政拨款收入支出决算表为空表。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11009"/>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天津经济技术开发区财政局</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天津经济技术开发区财政局2025年度国有资本经营预算财政拨款收入支出决算表为空表。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14"/>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天津经济技术开发区财政局</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divId w:val="0"/>
        <w:snapToGrid w:val="0"/>
        <w:ind w:left="-960" w:firstLine="0" w:leftChars="-40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天津经济技术开发区财政局2025年财政拨款“三公”经费支出决算表为空表。</w:t>
      </w:r>
    </w:p>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9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天津经济技术开发区财政局</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2999269.77</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2999269.77</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一般公共服务支出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2999269.77</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2999269.77</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政府办公厅（室）及相关机构事务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183250.00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183250.00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2010302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183250.00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183250.00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20106</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财政事务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2816019.77</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2816019.77</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2010602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2816019.77</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2816019.77</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7922"/>
      <w:r>
        <w:rPr>
          <w:rFonts w:ascii="方正小标宋简体" w:eastAsia="方正小标宋简体" w:hAnsi="方正小标宋简体" w:cs="方正小标宋简体" w:hint="eastAsia"/>
          <w:b w:val="0"/>
          <w:bCs w:val="0"/>
          <w:lang w:val="en-US" w:eastAsia="zh-CN"/>
        </w:rPr>
        <w:t xml:space="preserve">第三部分  2025年度部门决算情况说明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7052"/>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天津经济技术开发区财政局</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14,780,703.50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减少6,474,685.65元，下降30.46%</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按实际工作需求，专项经费大幅压减，收入支出同比减少</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一般公共预算财政拨款收入14,780,703.50元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bookmarkStart w:id="17" w:name="_Toc6621"/>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一般公共服务支出14,780,703.50元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天津经济技术开发区财政局</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14,780,703.50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减少6,474,685.65元，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按实际工作需求，专项经费大幅压减，收入同比减少</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一般公共预算财政拨款收入14,780,703.50元，占100.00%</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21049"/>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天津经济技术开发区财政局</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14,780,703.50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减少6,474,685.65元，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按实际工作需求，专项经费大幅压减，支出同比减少</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基本支出11,781,433.73元，占79.71%；项目支出2,999,269.77元，占20.29%</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82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天津经济技术开发区财政局</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14,780,703.50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减少6,474,685.65元，下降30.46%，</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按实际工作需求，专项经费大幅压减，收入支出同比减少</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一般公共预算财政拨款14,780,703.50元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一般公共服务支出14,780,703.50元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24201"/>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天津经济技术开发区财政局2025年度一般公共预算财政拨款支出合计14,780,703.50元，占本年支出合计的100.00%。与2024年度相比，一般公共预算财政拨款支出</w:t>
      </w:r>
      <w:r>
        <w:rPr>
          <w:rFonts w:eastAsia="仿宋_GB2312" w:hint="eastAsia"/>
          <w:sz w:val="30"/>
          <w:szCs w:val="30"/>
          <w:highlight w:val="none"/>
          <w:lang w:val="en-US" w:eastAsia="zh-CN"/>
        </w:rPr>
        <w:t xml:space="preserve">减少6,474,685.65元</w:t>
      </w:r>
      <w:r>
        <w:rPr>
          <w:rFonts w:eastAsia="仿宋_GB2312" w:hint="eastAsia"/>
          <w:sz w:val="30"/>
          <w:szCs w:val="30"/>
          <w:highlight w:val="none"/>
          <w:lang w:val="en-US" w:eastAsia="zh-CN"/>
        </w:rPr>
        <w:t xml:space="preserve">，下降30.46%</w:t>
      </w:r>
      <w:r>
        <w:rPr>
          <w:rFonts w:eastAsia="仿宋_GB2312" w:hint="eastAsia"/>
          <w:sz w:val="30"/>
          <w:szCs w:val="30"/>
          <w:highlight w:val="none"/>
          <w:lang w:val="en-US" w:eastAsia="zh-CN"/>
        </w:rPr>
        <w:t xml:space="preserve">，主要原因是按实际工作需求，专项经费大幅压减，收入支出同比减少。</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2025年度一般公共预算财政拨款支出14,780,703.50元，主要用于以下方面：</w:t>
      </w:r>
      <w:r>
        <w:rPr>
          <w:rFonts w:eastAsia="仿宋_GB2312" w:hint="eastAsia"/>
          <w:sz w:val="30"/>
          <w:szCs w:val="30"/>
          <w:highlight w:val="none"/>
        </w:rPr>
        <w:t xml:space="preserve">一般公共服务支出（类）支出14,780,703.50元，占100.00%</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2025年度一般公共预算财政拨款支出年初预算为18,769,900.00元，支出决算为14,780,703.50元</w:t>
      </w:r>
      <w:r>
        <w:rPr>
          <w:rFonts w:eastAsia="仿宋_GB2312" w:hint="eastAsia"/>
          <w:sz w:val="30"/>
          <w:szCs w:val="30"/>
          <w:highlight w:val="none"/>
          <w:lang w:val="en-US" w:eastAsia="zh-CN"/>
        </w:rPr>
        <w:t xml:space="preserve">，完成年初预算的78.75%</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一般公共服务支出（类）政府办公厅（室）及相关机构事务（款）一般行政管理事务（项）年初预算为500,000.00元，支出决算为183,250.00元，完成年初预算的36.65%，决算数小于年初预算数的主要原因是：年中根据实际完成工作量，调减预算额度。</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2.一般公共服务支出（类）财政事务（款）行政运行（项）年初预算为14,119,900.00元，支出决算为11,781,433.73元，完成年初预算的83.44%，决算数小于年初预算数的主要原因是：人员退休导致基本支出减少。</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一般公共服务支出（类）财政事务（款）一般行政管理事务（项）年初预算为4,150,000.00元，支出决算为2,816,019.77元，完成年初预算的67.86%，决算数小于年初预算数的主要原因是：按实际工作进度核算，未达到合同约定付款条件，部分专项支出减少。</w:t>
      </w:r>
    </w:p>
    <w:p>
      <w:pPr>
        <w:pStyle w:val="标题2"/>
        <w:spacing w:before="0" w:after="0" w:line="600" w:lineRule="exact"/>
        <w:ind w:firstLine="600" w:firstLineChars="200"/>
        <w:rPr>
          <w:rFonts w:ascii="黑体" w:eastAsia="黑体" w:hAnsi="黑体"/>
          <w:b w:val="0"/>
          <w:sz w:val="30"/>
          <w:szCs w:val="30"/>
          <w:highlight w:val="none"/>
        </w:rPr>
      </w:pPr>
      <w:bookmarkStart w:id="21" w:name="_Toc17234"/>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天津经济技术开发区财政局2025年度一般公共预算财政拨款基本支出合计11,781,433.73元，与2024年度相比</w:t>
      </w:r>
      <w:r>
        <w:rPr>
          <w:rFonts w:eastAsia="仿宋_GB2312" w:hint="eastAsia"/>
          <w:sz w:val="30"/>
          <w:szCs w:val="30"/>
          <w:highlight w:val="none"/>
          <w:lang w:val="en-US" w:eastAsia="zh-CN"/>
        </w:rPr>
        <w:t xml:space="preserve">减少2,007,406.97元，</w:t>
      </w:r>
      <w:r>
        <w:rPr>
          <w:rFonts w:eastAsia="仿宋_GB2312" w:hint="eastAsia"/>
          <w:sz w:val="30"/>
          <w:szCs w:val="30"/>
          <w:highlight w:val="none"/>
          <w:lang w:val="en-US" w:eastAsia="zh-CN"/>
        </w:rPr>
        <w:t xml:space="preserve">主要原因是人员退休导致基本支出减少。</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人员经费11,466,590.69元，主要包括</w:t>
      </w:r>
      <w:r>
        <w:rPr>
          <w:rFonts w:eastAsia="仿宋_GB2312" w:hint="eastAsia"/>
          <w:sz w:val="30"/>
          <w:szCs w:val="30"/>
          <w:highlight w:val="none"/>
          <w:lang w:val="en-US" w:eastAsia="zh-CN"/>
        </w:rPr>
        <w:t xml:space="preserve">基本工资、津贴补贴、机关事业单位基本养老保险缴费、职业年金缴费、职工基本医疗保险缴费、其他社会保障缴费、住房公积金</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公用经费314,843.04元，主要包括</w:t>
      </w:r>
      <w:r>
        <w:rPr>
          <w:rFonts w:eastAsia="仿宋_GB2312" w:hint="eastAsia"/>
          <w:sz w:val="30"/>
          <w:szCs w:val="30"/>
          <w:highlight w:val="none"/>
          <w:lang w:val="en-US" w:eastAsia="zh-CN"/>
        </w:rPr>
        <w:t xml:space="preserve">办公费、印刷费、手续费、水费、邮电费、差旅费、维修(护)费、培训费、劳务费、委托业务费、其他交通费用、其他商品和服务支出</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11228"/>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天津经济技术开发区财政局2025年度无政府性基金预算财政拨款收入、支出和结转结余。</w:t>
      </w:r>
    </w:p>
    <w:p>
      <w:pPr>
        <w:pStyle w:val="标题2"/>
        <w:spacing w:before="0" w:after="0" w:line="600" w:lineRule="exact"/>
        <w:ind w:firstLine="600" w:firstLineChars="200"/>
        <w:rPr>
          <w:rFonts w:eastAsia="黑体" w:hint="eastAsia"/>
          <w:b w:val="0"/>
          <w:sz w:val="30"/>
          <w:szCs w:val="30"/>
          <w:highlight w:val="none"/>
        </w:rPr>
      </w:pPr>
      <w:bookmarkStart w:id="23" w:name="_Toc2429"/>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天津经济技术开发区财政局2025年度无国有资本经营预算财政拨款收入、支出和结转结余。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22288"/>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支出决算较上年减少93,810.00元</w:t>
      </w:r>
      <w:r>
        <w:rPr>
          <w:rFonts w:eastAsia="仿宋_GB2312" w:hint="eastAsia"/>
          <w:sz w:val="30"/>
          <w:szCs w:val="30"/>
          <w:highlight w:val="none"/>
          <w:lang w:val="en-US" w:eastAsia="zh-CN"/>
        </w:rPr>
        <w:t xml:space="preserve">，下降100.00%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决算数与预算数持平的主要原因是本年度未用财政拨款经费列支“三公”经费；</w:t>
      </w:r>
      <w:r>
        <w:rPr>
          <w:rFonts w:eastAsia="仿宋_GB2312" w:hint="eastAsia"/>
          <w:sz w:val="30"/>
          <w:szCs w:val="30"/>
          <w:highlight w:val="none"/>
          <w:lang w:val="en-US" w:eastAsia="zh-CN"/>
        </w:rPr>
        <w:t xml:space="preserve">决算数较上年减少的主要原因是本年度未用财政拨款经费列支“三公”经费。</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支出决算较上年减少93,810.00元</w:t>
      </w:r>
      <w:r>
        <w:rPr>
          <w:rFonts w:eastAsia="仿宋_GB2312" w:hint="eastAsia"/>
          <w:sz w:val="30"/>
          <w:szCs w:val="30"/>
          <w:highlight w:val="none"/>
          <w:lang w:val="en-US" w:eastAsia="zh-CN"/>
        </w:rPr>
        <w:t xml:space="preserve">，下降100.00%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决算数与预算数持平的主要原因是本年度未用财政拨款经费列支因公出国（境）费；</w:t>
      </w:r>
      <w:r>
        <w:rPr>
          <w:rFonts w:eastAsia="仿宋_GB2312" w:hint="eastAsia"/>
          <w:sz w:val="30"/>
          <w:szCs w:val="30"/>
          <w:highlight w:val="none"/>
          <w:lang w:val="en-US" w:eastAsia="zh-CN"/>
        </w:rPr>
        <w:t xml:space="preserve">决算数较上年减少的主要原因是本年度未用财政拨款经费列支因公出国（境）费。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决算数与预算数持平的主要原因是本年度未用财政拨款经费列支公务用车购置及运行维护费；</w:t>
      </w:r>
      <w:r>
        <w:rPr>
          <w:rFonts w:eastAsia="仿宋_GB2312" w:hint="eastAsia"/>
          <w:sz w:val="30"/>
          <w:szCs w:val="30"/>
          <w:highlight w:val="none"/>
          <w:lang w:val="en-US" w:eastAsia="zh-CN"/>
        </w:rPr>
        <w:t xml:space="preserve">决算数较上年持平的主要原因是本年度未用财政拨款经费列支公务用车购置及运行维护费。</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决算数与预算数持平的主要原因是本年度未用财政拨款经费列支公务用车运行维护费；</w:t>
      </w:r>
      <w:r>
        <w:rPr>
          <w:rFonts w:eastAsia="仿宋_GB2312" w:hint="eastAsia"/>
          <w:sz w:val="30"/>
          <w:szCs w:val="30"/>
          <w:highlight w:val="none"/>
          <w:lang w:val="en-US" w:eastAsia="zh-CN"/>
        </w:rPr>
        <w:t xml:space="preserve">决算数较上年持平的主要原因是本年度未用财政拨款经费列支公务用车购置及运行维护费。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决算数与预算数持平的主要原因是本年度未用财政拨款经费列支公务用车购置费；</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决算数与预算数持平的主要原因是本年度未用财政拨款经费列支公务接待费；</w:t>
      </w:r>
      <w:r>
        <w:rPr>
          <w:rFonts w:eastAsia="仿宋_GB2312" w:hint="eastAsia"/>
          <w:sz w:val="30"/>
          <w:szCs w:val="30"/>
          <w:highlight w:val="none"/>
          <w:lang w:val="en-US" w:eastAsia="zh-CN"/>
        </w:rPr>
        <w:t xml:space="preserve">决算数较上年持平的主要原因是本年度未用财政拨款经费列支公务接待费。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30303"/>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机关运行经费是指行政单位和参照公务员法管理的事业单位使用财政拨款安排的基本支出中的日常公用经费支出，天津经济技术开发区财政局2025年度机关运行经费年初预算517,600.00元，决算数314,843.04元，与年初预算相比</w:t>
      </w:r>
      <w:r>
        <w:rPr>
          <w:rFonts w:eastAsia="仿宋_GB2312" w:hint="eastAsia"/>
          <w:sz w:val="30"/>
          <w:szCs w:val="30"/>
          <w:highlight w:val="none"/>
          <w:lang w:val="en-US" w:eastAsia="zh-CN"/>
        </w:rPr>
        <w:t xml:space="preserve">减少202,756.96元，</w:t>
      </w:r>
      <w:r>
        <w:rPr>
          <w:rFonts w:eastAsia="仿宋_GB2312" w:hint="eastAsia"/>
          <w:sz w:val="30"/>
          <w:szCs w:val="30"/>
          <w:highlight w:val="none"/>
          <w:lang w:val="en-US" w:eastAsia="zh-CN"/>
        </w:rPr>
        <w:t xml:space="preserve">完成年初预算的60.83%；</w:t>
      </w:r>
      <w:r>
        <w:rPr>
          <w:rFonts w:eastAsia="仿宋_GB2312" w:hint="eastAsia"/>
          <w:sz w:val="30"/>
          <w:szCs w:val="30"/>
          <w:highlight w:val="none"/>
          <w:lang w:val="en-US" w:eastAsia="zh-CN"/>
        </w:rPr>
        <w:t xml:space="preserve">比2024年减少106,419.56元</w:t>
      </w:r>
      <w:r>
        <w:rPr>
          <w:rFonts w:eastAsia="仿宋_GB2312" w:hint="eastAsia"/>
          <w:sz w:val="30"/>
          <w:szCs w:val="30"/>
          <w:highlight w:val="none"/>
          <w:lang w:val="en-US" w:eastAsia="zh-CN"/>
        </w:rPr>
        <w:t xml:space="preserve">，下降25.26%</w:t>
      </w:r>
      <w:r>
        <w:rPr>
          <w:rFonts w:eastAsia="仿宋_GB2312" w:hint="eastAsia"/>
          <w:sz w:val="30"/>
          <w:szCs w:val="30"/>
          <w:highlight w:val="none"/>
          <w:lang w:val="en-US" w:eastAsia="zh-CN"/>
        </w:rPr>
        <w:t xml:space="preserve">。主要原因是：按照过紧日子要求，优化日常公务活动，压减非刚性支出。</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3597"/>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财政局2025年政府采购支出总额8,730,958.00元，其中：政府采购货物支出8,358.00元、政府采购工程支出0.00元、政府采购服务支出8,722,600.00元。授予中小企业合同金额8,730,958.00元，占政府采购支出总额的100.00%，其中：授予小微企业合同金额4,880,958.00元，占政府采购支出总额的55.90%；货物采购授予中小企业合同金额占货物支出金额的100.00%，工程采购授予中小企业合同金额占工程支出金额的0.00%，服务采购授予中小企业合同金额占服务支出金额的100.00%。</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32039"/>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天津经济技术开发区财政局2025年度无国有资产占有使用情况。</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2201"/>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根据预算绩效管理要求，天津经济技术开发区财政局已对4个2025年度区级项目开展绩效自评，涉及金额4,650,000.00元，自评结果已随部门决算一并公开。</w:t>
      </w:r>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本部门2025年度未开展部门评价。</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10864"/>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天津经济技术开发区财政局不属于乡、镇、街级单位，不涉及公开2025年度教育、医疗卫生、社会保障和就业、住房保障、涉农补贴等民生支出情况。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19733"/>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02F31B7A-1821-48A8-A0CF-32D269427E48}"/>
    <w:embedBold r:id="rId2" w:subsetted="1" w:fontKey="{14FE976D-0D83-42AF-A033-A6090974865E}"/>
  </w:font>
  <w:font w:name="Cambria">
    <w:panose1 w:val="02040503050406030204"/>
    <w:charset w:val="00"/>
    <w:family w:val="roman"/>
    <w:pitch w:val="default"/>
    <w:sig w:usb0="E00006FF" w:usb1="420024FF" w:usb2="02000000" w:usb3="00000000" w:csb0="2000019F" w:csb1="00000000"/>
    <w:embedRegular r:id="rId3" w:fontKey="{9647CE7F-3DF3-4000-BEA2-14894D64FF6F}"/>
  </w:font>
  <w:font w:name="Calibri">
    <w:panose1 w:val="020F0502020204030204"/>
    <w:charset w:val="00"/>
    <w:family w:val="swiss"/>
    <w:pitch w:val="default"/>
    <w:sig w:usb0="E4002EFF" w:usb1="C200247B" w:usb2="00000009" w:usb3="00000000" w:csb0="200001FF" w:csb1="00000000"/>
    <w:embedRegular r:id="rId4" w:fontKey="{39720821-BF86-411E-94CA-82C1642D4ECC}"/>
  </w:font>
  <w:font w:name="黑体">
    <w:panose1 w:val="02010609060101010101"/>
    <w:charset w:val="FFFFFF86"/>
    <w:family w:val="auto"/>
    <w:pitch w:val="default"/>
    <w:sig w:usb0="800002BF" w:usb1="38CF7CFA" w:usb2="00000016" w:usb3="00000000" w:csb0="00040001" w:csb1="00000000"/>
    <w:embedRegular r:id="rId5" w:subsetted="1" w:fontKey="{8576322C-2DDE-4C99-A6AC-1AC2805872B7}"/>
    <w:embedBold r:id="rId6" w:subsetted="1" w:fontKey="{380ABE12-BF5A-4422-BE37-DB33EB56A6D8}"/>
  </w:font>
  <w:font w:name="方正小标宋简体">
    <w:altName w:val="黑体"/>
    <w:panose1 w:val="02000000000000000000"/>
    <w:charset w:val="FFFFFF86"/>
    <w:family w:val="auto"/>
    <w:pitch w:val="default"/>
    <w:sig w:usb0="00000001" w:usb1="08000000" w:usb2="00000000" w:usb3="00000000" w:csb0="00040000" w:csb1="00000000"/>
    <w:embedRegular r:id="rId7" w:fontKey="{89F6C4F7-A585-4AA0-A1A5-3B85C1228EF1}"/>
    <w:embedBold r:id="rId8" w:fontKey="{6865018A-FB22-4A90-A385-E923030BEDC2}"/>
  </w:font>
  <w:font w:name="仿宋">
    <w:panose1 w:val="02010609060101010101"/>
    <w:charset w:val="FFFFFF86"/>
    <w:family w:val="auto"/>
    <w:pitch w:val="default"/>
    <w:sig w:usb0="800002BF" w:usb1="38CF7CFA" w:usb2="00000016" w:usb3="00000000" w:csb0="00040001" w:csb1="00000000"/>
    <w:embedRegular r:id="rId9" w:subsetted="1" w:fontKey="{874ACFE8-455B-4FD4-BC7F-F377817DA970}"/>
  </w:font>
  <w:font w:name="方正仿宋_GB2312">
    <w:altName w:val="仿宋"/>
    <w:panose1 w:val="02000000000000000000"/>
    <w:charset w:val="FFFFFF86"/>
    <w:family w:val="auto"/>
    <w:pitch w:val="default"/>
    <w:sig w:usb0="A00002BF" w:usb1="184F6CFA" w:usb2="00000012" w:usb3="00000000" w:csb0="00040001" w:csb1="00000000"/>
  </w:font>
  <w:font w:name="仿宋_GB2312">
    <w:altName w:val="仿宋"/>
    <w:panose1 w:val="02010609030101010101"/>
    <w:charset w:val="FFFFFF86"/>
    <w:family w:val="auto"/>
    <w:pitch w:val="default"/>
    <w:sig w:usb0="00000001" w:usb1="080E0000" w:usb2="00000000" w:usb3="00000000" w:csb0="00040000" w:csb1="00000000"/>
    <w:embedRegular r:id="rId10" w:fontKey="{1349AE9E-90D8-4033-9BAE-5922D514D660}"/>
  </w:font>
  <w:font w:name="方正楷体_GB2312">
    <w:altName w:val="宋体"/>
    <w:panose1 w:val="02000000000000000000"/>
    <w:charset w:val="FFFFFF86"/>
    <w:family w:val="auto"/>
    <w:pitch w:val="default"/>
    <w:sig w:usb0="A00002BF" w:usb1="184F6CFA" w:usb2="00000012" w:usb3="00000000" w:csb0="00040001" w:csb1="00000000"/>
    <w:embedRegular r:id="rId11" w:fontKey="{DEC59060-51BE-4BC0-8609-F71F1EB1B037}"/>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2" w:subsetted="1" w:fontKey="{8CAD4436-4635-49DD-B79C-151F549A7CE7}"/>
    <w:embedBold r:id="rId13" w:subsetted="1" w:fontKey="{19D884EA-E914-4068-9A97-F31C6DB04FB8}"/>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4</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7</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18</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26</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13" Type="http://schemas.openxmlformats.org/officeDocument/2006/relationships/font" Target="fonts/font12.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29</Pages>
  <Words>3930</Words>
  <Characters>23360</Characters>
  <Application>WPS Office_12.1.0.28043_F1E327BC-269C-435d-A152-05C5408002CA</Application>
  <DocSecurity>0</DocSecurity>
  <Lines>60</Lines>
  <Paragraphs>16</Paragraphs>
  <ScaleCrop>false</ScaleCrop>
  <Company>Microsoft</Company>
  <LinksUpToDate>false</LinksUpToDate>
  <CharactersWithSpaces>23943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2026-08-26T09:05:51Z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